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CF7D2" w14:textId="3486140C" w:rsidR="002E6E3E" w:rsidRPr="001F7A3A" w:rsidRDefault="002E6E3E" w:rsidP="007702D5">
      <w:pPr>
        <w:jc w:val="right"/>
        <w:rPr>
          <w:rFonts w:ascii="Times New Roman" w:hAnsi="Times New Roman" w:cs="Times New Roman"/>
          <w:sz w:val="24"/>
          <w:szCs w:val="24"/>
        </w:rPr>
      </w:pPr>
      <w:r w:rsidRPr="00045D34">
        <w:rPr>
          <w:rFonts w:ascii="Times New Roman" w:hAnsi="Times New Roman" w:cs="Times New Roman"/>
          <w:sz w:val="24"/>
          <w:szCs w:val="24"/>
        </w:rPr>
        <w:t xml:space="preserve">Bolzano, </w:t>
      </w:r>
      <w:r w:rsidR="00045D34" w:rsidRPr="00045D34">
        <w:rPr>
          <w:rFonts w:ascii="Times New Roman" w:hAnsi="Times New Roman" w:cs="Times New Roman"/>
          <w:sz w:val="24"/>
          <w:szCs w:val="24"/>
        </w:rPr>
        <w:t xml:space="preserve">07 maggio </w:t>
      </w:r>
      <w:r w:rsidR="001F7A3A" w:rsidRPr="00045D34">
        <w:rPr>
          <w:rFonts w:ascii="Times New Roman" w:hAnsi="Times New Roman" w:cs="Times New Roman"/>
          <w:sz w:val="24"/>
          <w:szCs w:val="24"/>
        </w:rPr>
        <w:t>2025</w:t>
      </w:r>
    </w:p>
    <w:p w14:paraId="644E725C" w14:textId="52F4BA96" w:rsidR="00DB1B9B" w:rsidRPr="001F7A3A" w:rsidRDefault="002E6E3E" w:rsidP="007702D5">
      <w:pPr>
        <w:rPr>
          <w:rFonts w:ascii="Times New Roman" w:hAnsi="Times New Roman" w:cs="Times New Roman"/>
          <w:b/>
          <w:bCs/>
          <w:sz w:val="24"/>
          <w:szCs w:val="24"/>
        </w:rPr>
      </w:pPr>
      <w:r w:rsidRPr="001F7A3A">
        <w:rPr>
          <w:rFonts w:ascii="Times New Roman" w:hAnsi="Times New Roman" w:cs="Times New Roman"/>
          <w:b/>
          <w:bCs/>
          <w:sz w:val="24"/>
          <w:szCs w:val="24"/>
        </w:rPr>
        <w:t>TRIBUNALE DI BOLZANO</w:t>
      </w:r>
    </w:p>
    <w:p w14:paraId="65BBA718" w14:textId="0756F5A9" w:rsidR="002E6E3E" w:rsidRDefault="002E6E3E" w:rsidP="007702D5">
      <w:pPr>
        <w:rPr>
          <w:rFonts w:ascii="Times New Roman" w:hAnsi="Times New Roman" w:cs="Times New Roman"/>
          <w:b/>
          <w:bCs/>
          <w:sz w:val="24"/>
          <w:szCs w:val="24"/>
        </w:rPr>
      </w:pPr>
      <w:r w:rsidRPr="001F7A3A">
        <w:rPr>
          <w:rFonts w:ascii="Times New Roman" w:hAnsi="Times New Roman" w:cs="Times New Roman"/>
          <w:b/>
          <w:bCs/>
          <w:sz w:val="24"/>
          <w:szCs w:val="24"/>
        </w:rPr>
        <w:t>UFFICIO ESECUZIONI IMMOBILIARI</w:t>
      </w:r>
    </w:p>
    <w:p w14:paraId="1C4C5976" w14:textId="77777777" w:rsidR="006A0119" w:rsidRDefault="006A0119" w:rsidP="007702D5">
      <w:pPr>
        <w:rPr>
          <w:rFonts w:ascii="Times New Roman" w:hAnsi="Times New Roman" w:cs="Times New Roman"/>
          <w:b/>
          <w:bCs/>
          <w:sz w:val="24"/>
          <w:szCs w:val="24"/>
        </w:rPr>
      </w:pPr>
    </w:p>
    <w:p w14:paraId="2E1B138F" w14:textId="2AD4298B" w:rsidR="004A1145" w:rsidRPr="006A0119" w:rsidRDefault="006A0119" w:rsidP="006A0119">
      <w:pPr>
        <w:rPr>
          <w:rFonts w:ascii="Times New Roman" w:hAnsi="Times New Roman" w:cs="Times New Roman"/>
          <w:b/>
          <w:bCs/>
          <w:sz w:val="24"/>
          <w:szCs w:val="24"/>
          <w:u w:val="single"/>
        </w:rPr>
      </w:pPr>
      <w:r w:rsidRPr="006A0119">
        <w:rPr>
          <w:rFonts w:ascii="Times New Roman" w:hAnsi="Times New Roman" w:cs="Times New Roman"/>
          <w:b/>
          <w:bCs/>
          <w:sz w:val="24"/>
          <w:szCs w:val="24"/>
          <w:u w:val="single"/>
        </w:rPr>
        <w:t xml:space="preserve">LINEE GUIDA PER </w:t>
      </w:r>
      <w:r>
        <w:rPr>
          <w:rFonts w:ascii="Times New Roman" w:hAnsi="Times New Roman" w:cs="Times New Roman"/>
          <w:b/>
          <w:bCs/>
          <w:sz w:val="24"/>
          <w:szCs w:val="24"/>
          <w:u w:val="single"/>
        </w:rPr>
        <w:t>I CREDITORI NEL</w:t>
      </w:r>
      <w:r w:rsidRPr="006A0119">
        <w:rPr>
          <w:rFonts w:ascii="Times New Roman" w:hAnsi="Times New Roman" w:cs="Times New Roman"/>
          <w:b/>
          <w:bCs/>
          <w:sz w:val="24"/>
          <w:szCs w:val="24"/>
          <w:u w:val="single"/>
        </w:rPr>
        <w:t>LE ESECUZIONI IMMOBILIARI</w:t>
      </w:r>
    </w:p>
    <w:p w14:paraId="67EC5580" w14:textId="77777777" w:rsidR="004C6D2D" w:rsidRPr="001F7A3A" w:rsidRDefault="004C6D2D" w:rsidP="007702D5">
      <w:pPr>
        <w:pStyle w:val="Paragrafoelenco"/>
        <w:spacing w:line="360" w:lineRule="auto"/>
        <w:ind w:left="1416"/>
        <w:jc w:val="both"/>
        <w:rPr>
          <w:rFonts w:ascii="Times New Roman" w:hAnsi="Times New Roman" w:cs="Times New Roman"/>
          <w:b/>
          <w:bCs/>
          <w:sz w:val="24"/>
          <w:szCs w:val="24"/>
        </w:rPr>
      </w:pPr>
    </w:p>
    <w:p w14:paraId="1C025E0C" w14:textId="2EBDCE2B" w:rsidR="004B38B4" w:rsidRPr="001F7A3A" w:rsidRDefault="004B38B4" w:rsidP="007702D5">
      <w:pPr>
        <w:jc w:val="both"/>
        <w:rPr>
          <w:rFonts w:ascii="Times New Roman" w:hAnsi="Times New Roman" w:cs="Times New Roman"/>
          <w:b/>
          <w:bCs/>
          <w:sz w:val="24"/>
          <w:szCs w:val="24"/>
        </w:rPr>
      </w:pPr>
      <w:r w:rsidRPr="001F7A3A">
        <w:rPr>
          <w:rFonts w:ascii="Times New Roman" w:hAnsi="Times New Roman" w:cs="Times New Roman"/>
          <w:b/>
          <w:bCs/>
          <w:sz w:val="24"/>
          <w:szCs w:val="24"/>
        </w:rPr>
        <w:t>p.c.</w:t>
      </w:r>
    </w:p>
    <w:p w14:paraId="429B0D14" w14:textId="1E7C650F" w:rsidR="004B38B4" w:rsidRPr="001F7A3A" w:rsidRDefault="004B38B4" w:rsidP="007702D5">
      <w:pPr>
        <w:pStyle w:val="Paragrafoelenco"/>
        <w:numPr>
          <w:ilvl w:val="0"/>
          <w:numId w:val="18"/>
        </w:numPr>
        <w:spacing w:line="360" w:lineRule="auto"/>
        <w:jc w:val="both"/>
        <w:rPr>
          <w:rFonts w:ascii="Times New Roman" w:hAnsi="Times New Roman" w:cs="Times New Roman"/>
          <w:b/>
          <w:bCs/>
          <w:sz w:val="24"/>
          <w:szCs w:val="24"/>
        </w:rPr>
      </w:pPr>
      <w:r w:rsidRPr="001F7A3A">
        <w:rPr>
          <w:rFonts w:ascii="Times New Roman" w:hAnsi="Times New Roman" w:cs="Times New Roman"/>
          <w:b/>
          <w:bCs/>
          <w:sz w:val="24"/>
          <w:szCs w:val="24"/>
        </w:rPr>
        <w:t>Alla Presidente del Tribunale</w:t>
      </w:r>
    </w:p>
    <w:p w14:paraId="253DB443" w14:textId="1C3B1A47" w:rsidR="004B38B4" w:rsidRPr="001F7A3A" w:rsidRDefault="004B38B4" w:rsidP="007702D5">
      <w:pPr>
        <w:pStyle w:val="Paragrafoelenco"/>
        <w:numPr>
          <w:ilvl w:val="0"/>
          <w:numId w:val="18"/>
        </w:numPr>
        <w:spacing w:line="360" w:lineRule="auto"/>
        <w:jc w:val="both"/>
        <w:rPr>
          <w:rFonts w:ascii="Times New Roman" w:hAnsi="Times New Roman" w:cs="Times New Roman"/>
          <w:b/>
          <w:bCs/>
          <w:sz w:val="24"/>
          <w:szCs w:val="24"/>
        </w:rPr>
      </w:pPr>
      <w:r w:rsidRPr="001F7A3A">
        <w:rPr>
          <w:rFonts w:ascii="Times New Roman" w:hAnsi="Times New Roman" w:cs="Times New Roman"/>
          <w:b/>
          <w:bCs/>
          <w:sz w:val="24"/>
          <w:szCs w:val="24"/>
        </w:rPr>
        <w:t>Alla Presidente della Prima Sezione Civile</w:t>
      </w:r>
    </w:p>
    <w:p w14:paraId="21236AF0" w14:textId="6F42F4A3" w:rsidR="00245C90" w:rsidRPr="001F7A3A" w:rsidRDefault="00245C90" w:rsidP="007702D5">
      <w:pPr>
        <w:jc w:val="both"/>
        <w:rPr>
          <w:rFonts w:ascii="Times New Roman" w:hAnsi="Times New Roman" w:cs="Times New Roman"/>
          <w:b/>
          <w:bCs/>
          <w:sz w:val="24"/>
          <w:szCs w:val="24"/>
        </w:rPr>
      </w:pPr>
    </w:p>
    <w:p w14:paraId="7FAFC891" w14:textId="73C12625" w:rsidR="00890C99" w:rsidRPr="002832F0" w:rsidRDefault="00327C15" w:rsidP="007702D5">
      <w:pPr>
        <w:jc w:val="both"/>
        <w:rPr>
          <w:rFonts w:ascii="Times New Roman" w:hAnsi="Times New Roman" w:cs="Times New Roman"/>
          <w:b/>
          <w:bCs/>
          <w:sz w:val="24"/>
          <w:szCs w:val="24"/>
          <w:u w:val="single"/>
        </w:rPr>
      </w:pPr>
      <w:r w:rsidRPr="002832F0">
        <w:rPr>
          <w:rFonts w:ascii="Times New Roman" w:hAnsi="Times New Roman" w:cs="Times New Roman"/>
          <w:b/>
          <w:bCs/>
          <w:sz w:val="24"/>
          <w:szCs w:val="24"/>
          <w:u w:val="single"/>
        </w:rPr>
        <w:t xml:space="preserve">Oggetto: </w:t>
      </w:r>
      <w:r w:rsidR="00742534" w:rsidRPr="002832F0">
        <w:rPr>
          <w:rFonts w:ascii="Times New Roman" w:hAnsi="Times New Roman" w:cs="Times New Roman"/>
          <w:b/>
          <w:bCs/>
          <w:sz w:val="24"/>
          <w:szCs w:val="24"/>
          <w:u w:val="single"/>
        </w:rPr>
        <w:t xml:space="preserve">indicazioni operative </w:t>
      </w:r>
      <w:r w:rsidR="002832F0" w:rsidRPr="002832F0">
        <w:rPr>
          <w:rFonts w:ascii="Times New Roman" w:hAnsi="Times New Roman" w:cs="Times New Roman"/>
          <w:b/>
          <w:bCs/>
          <w:sz w:val="24"/>
          <w:szCs w:val="24"/>
          <w:u w:val="single"/>
        </w:rPr>
        <w:t xml:space="preserve">riguardanti </w:t>
      </w:r>
      <w:r w:rsidR="00742534" w:rsidRPr="002832F0">
        <w:rPr>
          <w:rFonts w:ascii="Times New Roman" w:hAnsi="Times New Roman" w:cs="Times New Roman"/>
          <w:b/>
          <w:bCs/>
          <w:sz w:val="24"/>
          <w:szCs w:val="24"/>
          <w:u w:val="single"/>
        </w:rPr>
        <w:t xml:space="preserve">la disciplina </w:t>
      </w:r>
      <w:r w:rsidR="002832F0" w:rsidRPr="002832F0">
        <w:rPr>
          <w:rFonts w:ascii="Times New Roman" w:hAnsi="Times New Roman" w:cs="Times New Roman"/>
          <w:b/>
          <w:bCs/>
          <w:sz w:val="24"/>
          <w:szCs w:val="24"/>
          <w:u w:val="single"/>
        </w:rPr>
        <w:t>consumeristica e gli i</w:t>
      </w:r>
      <w:r w:rsidR="002832F0" w:rsidRPr="002832F0">
        <w:rPr>
          <w:rFonts w:ascii="Times New Roman" w:eastAsia="Times New Roman" w:hAnsi="Times New Roman" w:cs="Times New Roman"/>
          <w:b/>
          <w:bCs/>
          <w:sz w:val="24"/>
          <w:szCs w:val="24"/>
          <w:u w:val="single"/>
        </w:rPr>
        <w:t xml:space="preserve">mmobili </w:t>
      </w:r>
      <w:r w:rsidR="002832F0" w:rsidRPr="00A8309A">
        <w:rPr>
          <w:rFonts w:ascii="Times New Roman" w:eastAsia="Times New Roman" w:hAnsi="Times New Roman" w:cs="Times New Roman"/>
          <w:b/>
          <w:bCs/>
          <w:sz w:val="24"/>
          <w:szCs w:val="24"/>
          <w:u w:val="single"/>
        </w:rPr>
        <w:t>realizzati in regime di edilizia residenziale pubblica convenzionata e agevolata</w:t>
      </w:r>
    </w:p>
    <w:p w14:paraId="22AF8F9A" w14:textId="77777777" w:rsidR="00742534" w:rsidRPr="001F7A3A" w:rsidRDefault="00742534" w:rsidP="007702D5">
      <w:pPr>
        <w:jc w:val="both"/>
        <w:rPr>
          <w:rFonts w:ascii="Times New Roman" w:hAnsi="Times New Roman" w:cs="Times New Roman"/>
          <w:b/>
          <w:bCs/>
          <w:sz w:val="24"/>
          <w:szCs w:val="24"/>
        </w:rPr>
      </w:pPr>
    </w:p>
    <w:p w14:paraId="77B5D618" w14:textId="5DB1E844" w:rsidR="00890C99" w:rsidRPr="000A4E46" w:rsidRDefault="00890C99" w:rsidP="004C29AA">
      <w:pPr>
        <w:pStyle w:val="Paragrafoelenco"/>
        <w:numPr>
          <w:ilvl w:val="0"/>
          <w:numId w:val="31"/>
        </w:numPr>
        <w:spacing w:line="360" w:lineRule="auto"/>
        <w:ind w:left="714" w:hanging="357"/>
        <w:jc w:val="both"/>
        <w:rPr>
          <w:rFonts w:ascii="Times New Roman" w:hAnsi="Times New Roman" w:cs="Times New Roman"/>
          <w:b/>
          <w:bCs/>
          <w:sz w:val="24"/>
          <w:szCs w:val="24"/>
        </w:rPr>
      </w:pPr>
      <w:r w:rsidRPr="000A4E46">
        <w:rPr>
          <w:rFonts w:ascii="Times New Roman" w:hAnsi="Times New Roman" w:cs="Times New Roman"/>
          <w:b/>
          <w:bCs/>
          <w:sz w:val="24"/>
          <w:szCs w:val="24"/>
          <w:u w:val="single"/>
        </w:rPr>
        <w:t>Esecuzioni immobiliari che riguardano debitori-consumatori</w:t>
      </w:r>
    </w:p>
    <w:p w14:paraId="13285900" w14:textId="77777777" w:rsidR="000A4E46" w:rsidRDefault="000A4E46" w:rsidP="007702D5">
      <w:pPr>
        <w:jc w:val="both"/>
        <w:rPr>
          <w:rFonts w:ascii="Times New Roman" w:hAnsi="Times New Roman" w:cs="Times New Roman"/>
          <w:sz w:val="24"/>
          <w:szCs w:val="24"/>
        </w:rPr>
      </w:pPr>
    </w:p>
    <w:p w14:paraId="4A4E92BA" w14:textId="786D4621" w:rsidR="00890C99" w:rsidRPr="001F7A3A" w:rsidRDefault="000A4E46" w:rsidP="007702D5">
      <w:pPr>
        <w:jc w:val="both"/>
        <w:rPr>
          <w:rFonts w:ascii="Times New Roman" w:hAnsi="Times New Roman" w:cs="Times New Roman"/>
          <w:sz w:val="24"/>
          <w:szCs w:val="24"/>
        </w:rPr>
      </w:pPr>
      <w:r>
        <w:rPr>
          <w:rFonts w:ascii="Times New Roman" w:hAnsi="Times New Roman" w:cs="Times New Roman"/>
          <w:sz w:val="24"/>
          <w:szCs w:val="24"/>
        </w:rPr>
        <w:t>P</w:t>
      </w:r>
      <w:r w:rsidR="00890C99" w:rsidRPr="001F7A3A">
        <w:rPr>
          <w:rFonts w:ascii="Times New Roman" w:hAnsi="Times New Roman" w:cs="Times New Roman"/>
          <w:sz w:val="24"/>
          <w:szCs w:val="24"/>
        </w:rPr>
        <w:t xml:space="preserve">remesso che </w:t>
      </w:r>
      <w:r>
        <w:rPr>
          <w:rFonts w:ascii="Times New Roman" w:hAnsi="Times New Roman" w:cs="Times New Roman"/>
          <w:sz w:val="24"/>
          <w:szCs w:val="24"/>
        </w:rPr>
        <w:t xml:space="preserve">la Suprema Corte con </w:t>
      </w:r>
      <w:r w:rsidR="00890C99" w:rsidRPr="001F7A3A">
        <w:rPr>
          <w:rFonts w:ascii="Times New Roman" w:hAnsi="Times New Roman" w:cs="Times New Roman"/>
          <w:sz w:val="24"/>
          <w:szCs w:val="24"/>
        </w:rPr>
        <w:t>sent.</w:t>
      </w:r>
      <w:r>
        <w:rPr>
          <w:rFonts w:ascii="Times New Roman" w:hAnsi="Times New Roman" w:cs="Times New Roman"/>
          <w:sz w:val="24"/>
          <w:szCs w:val="24"/>
        </w:rPr>
        <w:t xml:space="preserve"> S.U.</w:t>
      </w:r>
      <w:r w:rsidR="00890C99" w:rsidRPr="001F7A3A">
        <w:rPr>
          <w:rFonts w:ascii="Times New Roman" w:hAnsi="Times New Roman" w:cs="Times New Roman"/>
          <w:sz w:val="24"/>
          <w:szCs w:val="24"/>
        </w:rPr>
        <w:t xml:space="preserve"> n. 9479/2023 ha statuito</w:t>
      </w:r>
      <w:r>
        <w:rPr>
          <w:rFonts w:ascii="Times New Roman" w:hAnsi="Times New Roman" w:cs="Times New Roman"/>
          <w:sz w:val="24"/>
          <w:szCs w:val="24"/>
        </w:rPr>
        <w:t xml:space="preserve"> </w:t>
      </w:r>
      <w:r w:rsidR="00890C99" w:rsidRPr="001F7A3A">
        <w:rPr>
          <w:rFonts w:ascii="Times New Roman" w:hAnsi="Times New Roman" w:cs="Times New Roman"/>
          <w:sz w:val="24"/>
          <w:szCs w:val="24"/>
        </w:rPr>
        <w:t>i seguenti principi:</w:t>
      </w:r>
    </w:p>
    <w:p w14:paraId="6F4FC4F1" w14:textId="191994BB" w:rsidR="00890C99" w:rsidRPr="001F7A3A" w:rsidRDefault="00890C99" w:rsidP="00890C99">
      <w:pPr>
        <w:jc w:val="both"/>
        <w:rPr>
          <w:rFonts w:ascii="Times New Roman" w:hAnsi="Times New Roman" w:cs="Times New Roman"/>
          <w:i/>
          <w:iCs/>
          <w:sz w:val="24"/>
          <w:szCs w:val="24"/>
          <w:u w:val="single"/>
        </w:rPr>
      </w:pPr>
      <w:r w:rsidRPr="001F7A3A">
        <w:rPr>
          <w:rFonts w:ascii="Times New Roman" w:hAnsi="Times New Roman" w:cs="Times New Roman"/>
          <w:sz w:val="24"/>
          <w:szCs w:val="24"/>
          <w:u w:val="single"/>
        </w:rPr>
        <w:t>“</w:t>
      </w:r>
      <w:r w:rsidRPr="001F7A3A">
        <w:rPr>
          <w:rFonts w:ascii="Times New Roman" w:hAnsi="Times New Roman" w:cs="Times New Roman"/>
          <w:i/>
          <w:iCs/>
          <w:sz w:val="24"/>
          <w:szCs w:val="24"/>
          <w:u w:val="single"/>
        </w:rPr>
        <w:t xml:space="preserve">Fase esecutiva </w:t>
      </w:r>
    </w:p>
    <w:p w14:paraId="62434A55" w14:textId="77777777" w:rsidR="00890C99" w:rsidRPr="001F7A3A" w:rsidRDefault="00890C99" w:rsidP="00890C99">
      <w:pPr>
        <w:jc w:val="both"/>
        <w:rPr>
          <w:rFonts w:ascii="Times New Roman" w:hAnsi="Times New Roman" w:cs="Times New Roman"/>
          <w:i/>
          <w:iCs/>
          <w:sz w:val="24"/>
          <w:szCs w:val="24"/>
        </w:rPr>
      </w:pPr>
      <w:r w:rsidRPr="00DD6902">
        <w:rPr>
          <w:rFonts w:ascii="Times New Roman" w:hAnsi="Times New Roman" w:cs="Times New Roman"/>
          <w:b/>
          <w:bCs/>
          <w:i/>
          <w:iCs/>
          <w:sz w:val="24"/>
          <w:szCs w:val="24"/>
        </w:rPr>
        <w:t>Il giudice dell’esecuzione</w:t>
      </w:r>
      <w:r w:rsidRPr="001F7A3A">
        <w:rPr>
          <w:rFonts w:ascii="Times New Roman" w:hAnsi="Times New Roman" w:cs="Times New Roman"/>
          <w:i/>
          <w:iCs/>
          <w:sz w:val="24"/>
          <w:szCs w:val="24"/>
        </w:rPr>
        <w:t xml:space="preserve">: </w:t>
      </w:r>
    </w:p>
    <w:p w14:paraId="4A879797" w14:textId="77777777" w:rsidR="00890C99" w:rsidRPr="001F7A3A" w:rsidRDefault="00890C99" w:rsidP="00890C99">
      <w:pPr>
        <w:pStyle w:val="Paragrafoelenco"/>
        <w:numPr>
          <w:ilvl w:val="0"/>
          <w:numId w:val="19"/>
        </w:numPr>
        <w:spacing w:line="360" w:lineRule="auto"/>
        <w:jc w:val="both"/>
        <w:rPr>
          <w:rFonts w:ascii="Times New Roman" w:eastAsia="Times New Roman" w:hAnsi="Times New Roman" w:cs="Times New Roman"/>
          <w:i/>
          <w:iCs/>
          <w:sz w:val="24"/>
          <w:szCs w:val="24"/>
        </w:rPr>
      </w:pPr>
      <w:r w:rsidRPr="00DD6902">
        <w:rPr>
          <w:rFonts w:ascii="Times New Roman" w:hAnsi="Times New Roman" w:cs="Times New Roman"/>
          <w:b/>
          <w:bCs/>
          <w:i/>
          <w:iCs/>
          <w:sz w:val="24"/>
          <w:szCs w:val="24"/>
        </w:rPr>
        <w:t>in assenza di motivazione del decreto ingiuntivo</w:t>
      </w:r>
      <w:r w:rsidRPr="001F7A3A">
        <w:rPr>
          <w:rFonts w:ascii="Times New Roman" w:hAnsi="Times New Roman" w:cs="Times New Roman"/>
          <w:i/>
          <w:iCs/>
          <w:sz w:val="24"/>
          <w:szCs w:val="24"/>
        </w:rPr>
        <w:t xml:space="preserve"> in riferimento al profilo dell’abusività delle clausole, </w:t>
      </w:r>
      <w:r w:rsidRPr="00DD6902">
        <w:rPr>
          <w:rFonts w:ascii="Times New Roman" w:hAnsi="Times New Roman" w:cs="Times New Roman"/>
          <w:b/>
          <w:bCs/>
          <w:i/>
          <w:iCs/>
          <w:sz w:val="24"/>
          <w:szCs w:val="24"/>
        </w:rPr>
        <w:t>ha il dovere</w:t>
      </w:r>
      <w:r w:rsidRPr="001F7A3A">
        <w:rPr>
          <w:rFonts w:ascii="Times New Roman" w:hAnsi="Times New Roman" w:cs="Times New Roman"/>
          <w:i/>
          <w:iCs/>
          <w:sz w:val="24"/>
          <w:szCs w:val="24"/>
        </w:rPr>
        <w:t xml:space="preserve"> – da esercitarsi sino al momento della vendita o dell’assegnazione del bene o del credito - di </w:t>
      </w:r>
      <w:r w:rsidRPr="00DD6902">
        <w:rPr>
          <w:rFonts w:ascii="Times New Roman" w:hAnsi="Times New Roman" w:cs="Times New Roman"/>
          <w:b/>
          <w:bCs/>
          <w:i/>
          <w:iCs/>
          <w:sz w:val="24"/>
          <w:szCs w:val="24"/>
        </w:rPr>
        <w:t>controllare la presenza di eventuali clausole abusive che abbiano effetti sull’esistenza e/o sull’entità del credito oggetto del decreto ingiuntivo</w:t>
      </w:r>
      <w:r w:rsidRPr="001F7A3A">
        <w:rPr>
          <w:rFonts w:ascii="Times New Roman" w:hAnsi="Times New Roman" w:cs="Times New Roman"/>
          <w:i/>
          <w:iCs/>
          <w:sz w:val="24"/>
          <w:szCs w:val="24"/>
        </w:rPr>
        <w:t xml:space="preserve">; </w:t>
      </w:r>
    </w:p>
    <w:p w14:paraId="4ECF473C" w14:textId="77777777" w:rsidR="00890C99" w:rsidRPr="001F7A3A" w:rsidRDefault="00890C99" w:rsidP="00890C99">
      <w:pPr>
        <w:pStyle w:val="Paragrafoelenco"/>
        <w:numPr>
          <w:ilvl w:val="0"/>
          <w:numId w:val="19"/>
        </w:numPr>
        <w:spacing w:line="360" w:lineRule="auto"/>
        <w:jc w:val="both"/>
        <w:rPr>
          <w:rFonts w:ascii="Times New Roman" w:eastAsia="Times New Roman" w:hAnsi="Times New Roman" w:cs="Times New Roman"/>
          <w:i/>
          <w:iCs/>
          <w:sz w:val="24"/>
          <w:szCs w:val="24"/>
        </w:rPr>
      </w:pPr>
      <w:r w:rsidRPr="001F7A3A">
        <w:rPr>
          <w:rFonts w:ascii="Times New Roman" w:hAnsi="Times New Roman" w:cs="Times New Roman"/>
          <w:i/>
          <w:iCs/>
          <w:sz w:val="24"/>
          <w:szCs w:val="24"/>
        </w:rPr>
        <w:t xml:space="preserve">ove tale controllo non sia possibile in base agli elementi di diritto e fatto già in atti, dovrà provvedere, nelle forme proprie del processo esecutivo, ad una sommaria istruttoria funzionale a tal fine; </w:t>
      </w:r>
    </w:p>
    <w:p w14:paraId="00EC984D" w14:textId="77777777" w:rsidR="00890C99" w:rsidRPr="001F7A3A" w:rsidRDefault="00890C99" w:rsidP="00890C99">
      <w:pPr>
        <w:pStyle w:val="Paragrafoelenco"/>
        <w:numPr>
          <w:ilvl w:val="0"/>
          <w:numId w:val="19"/>
        </w:numPr>
        <w:spacing w:line="360" w:lineRule="auto"/>
        <w:jc w:val="both"/>
        <w:rPr>
          <w:rFonts w:ascii="Times New Roman" w:eastAsia="Times New Roman" w:hAnsi="Times New Roman" w:cs="Times New Roman"/>
          <w:i/>
          <w:iCs/>
          <w:sz w:val="24"/>
          <w:szCs w:val="24"/>
        </w:rPr>
      </w:pPr>
      <w:r w:rsidRPr="001F7A3A">
        <w:rPr>
          <w:rFonts w:ascii="Times New Roman" w:hAnsi="Times New Roman" w:cs="Times New Roman"/>
          <w:i/>
          <w:iCs/>
          <w:sz w:val="24"/>
          <w:szCs w:val="24"/>
        </w:rPr>
        <w:t xml:space="preserve">dell’esito di tale controllo sull’eventuale carattere abusivo delle clausole – sia positivo, che negativo - informerà le parti e avviserà il debitore esecutato che entro 40 giorni può proporre opposizione a decreto ingiuntivo ai sensi dell’art. 650 c.p.c. per fare accertare (solo ed esclusivamente) l’eventuale abusività delle clausole, con effetti sull’emesso decreto ingiuntivo; </w:t>
      </w:r>
    </w:p>
    <w:p w14:paraId="0F9B6ABD" w14:textId="77777777" w:rsidR="00890C99" w:rsidRPr="001F7A3A" w:rsidRDefault="00890C99" w:rsidP="00890C99">
      <w:pPr>
        <w:pStyle w:val="Paragrafoelenco"/>
        <w:numPr>
          <w:ilvl w:val="0"/>
          <w:numId w:val="19"/>
        </w:numPr>
        <w:spacing w:line="360" w:lineRule="auto"/>
        <w:jc w:val="both"/>
        <w:rPr>
          <w:rFonts w:ascii="Times New Roman" w:eastAsia="Times New Roman" w:hAnsi="Times New Roman" w:cs="Times New Roman"/>
          <w:i/>
          <w:iCs/>
          <w:sz w:val="24"/>
          <w:szCs w:val="24"/>
        </w:rPr>
      </w:pPr>
      <w:r w:rsidRPr="001F7A3A">
        <w:rPr>
          <w:rFonts w:ascii="Times New Roman" w:hAnsi="Times New Roman" w:cs="Times New Roman"/>
          <w:i/>
          <w:iCs/>
          <w:sz w:val="24"/>
          <w:szCs w:val="24"/>
        </w:rPr>
        <w:lastRenderedPageBreak/>
        <w:t>fino alle determinazioni del giudice dell’opposizione a decreto ingiuntivo ai sensi dell’art. 649 c.p.c., non procederà alla vendita o all’assegnazione del bene o del credito;</w:t>
      </w:r>
    </w:p>
    <w:p w14:paraId="585A80F1" w14:textId="77777777" w:rsidR="00890C99" w:rsidRPr="001F7A3A" w:rsidRDefault="00890C99" w:rsidP="00890C99">
      <w:pPr>
        <w:pStyle w:val="Paragrafoelenco"/>
        <w:numPr>
          <w:ilvl w:val="0"/>
          <w:numId w:val="19"/>
        </w:numPr>
        <w:spacing w:line="360" w:lineRule="auto"/>
        <w:jc w:val="both"/>
        <w:rPr>
          <w:rFonts w:ascii="Times New Roman" w:eastAsia="Times New Roman" w:hAnsi="Times New Roman" w:cs="Times New Roman"/>
          <w:i/>
          <w:iCs/>
          <w:sz w:val="24"/>
          <w:szCs w:val="24"/>
        </w:rPr>
      </w:pPr>
      <w:r w:rsidRPr="001F7A3A">
        <w:rPr>
          <w:rFonts w:ascii="Times New Roman" w:hAnsi="Times New Roman" w:cs="Times New Roman"/>
          <w:i/>
          <w:iCs/>
          <w:sz w:val="24"/>
          <w:szCs w:val="24"/>
        </w:rPr>
        <w:t>(ulteriori evenienze) e) se il debitore ha proposto opposizione all’esecuzione ex art. 615, primo comma, c.p.c., al fine di far valere l’abusività delle clausole del contratto fonte del credito ingiunto, il giudice adito la riqualificherà in termini di opposizione tardiva ex art. 650 c.p.c. e rimetterà la decisione al giudice di questa (</w:t>
      </w:r>
      <w:proofErr w:type="spellStart"/>
      <w:r w:rsidRPr="001F7A3A">
        <w:rPr>
          <w:rFonts w:ascii="Times New Roman" w:hAnsi="Times New Roman" w:cs="Times New Roman"/>
          <w:i/>
          <w:iCs/>
          <w:sz w:val="24"/>
          <w:szCs w:val="24"/>
        </w:rPr>
        <w:t>translatio</w:t>
      </w:r>
      <w:proofErr w:type="spellEnd"/>
      <w:r w:rsidRPr="001F7A3A">
        <w:rPr>
          <w:rFonts w:ascii="Times New Roman" w:hAnsi="Times New Roman" w:cs="Times New Roman"/>
          <w:i/>
          <w:iCs/>
          <w:sz w:val="24"/>
          <w:szCs w:val="24"/>
        </w:rPr>
        <w:t xml:space="preserve"> </w:t>
      </w:r>
      <w:proofErr w:type="spellStart"/>
      <w:r w:rsidRPr="001F7A3A">
        <w:rPr>
          <w:rFonts w:ascii="Times New Roman" w:hAnsi="Times New Roman" w:cs="Times New Roman"/>
          <w:i/>
          <w:iCs/>
          <w:sz w:val="24"/>
          <w:szCs w:val="24"/>
        </w:rPr>
        <w:t>iudicii</w:t>
      </w:r>
      <w:proofErr w:type="spellEnd"/>
      <w:r w:rsidRPr="001F7A3A">
        <w:rPr>
          <w:rFonts w:ascii="Times New Roman" w:hAnsi="Times New Roman" w:cs="Times New Roman"/>
          <w:i/>
          <w:iCs/>
          <w:sz w:val="24"/>
          <w:szCs w:val="24"/>
        </w:rPr>
        <w:t xml:space="preserve">); </w:t>
      </w:r>
    </w:p>
    <w:p w14:paraId="2311904E" w14:textId="09D11330" w:rsidR="00890C99" w:rsidRPr="001F7A3A" w:rsidRDefault="00890C99" w:rsidP="00890C99">
      <w:pPr>
        <w:pStyle w:val="Paragrafoelenco"/>
        <w:numPr>
          <w:ilvl w:val="0"/>
          <w:numId w:val="19"/>
        </w:numPr>
        <w:spacing w:line="360" w:lineRule="auto"/>
        <w:jc w:val="both"/>
        <w:rPr>
          <w:rFonts w:ascii="Times New Roman" w:eastAsia="Times New Roman" w:hAnsi="Times New Roman" w:cs="Times New Roman"/>
          <w:sz w:val="24"/>
          <w:szCs w:val="24"/>
        </w:rPr>
      </w:pPr>
      <w:r w:rsidRPr="001F7A3A">
        <w:rPr>
          <w:rFonts w:ascii="Times New Roman" w:hAnsi="Times New Roman" w:cs="Times New Roman"/>
          <w:i/>
          <w:iCs/>
          <w:sz w:val="24"/>
          <w:szCs w:val="24"/>
        </w:rPr>
        <w:t>se il debitore ha proposto un’opposizione esecutiva per far valere l’abusività di una clausola, il giudice darà termine di 40 giorni per proporre l’opposizione tardiva - se del caso rilevando l’abusività di altra clausola – e non procederà alla vendita o all’assegnazione del bene o del credito sino alle determinazioni del giudice dell’opposizione tardiva sull’istanza ex art. 649 c.p.c. del debitore consumatore</w:t>
      </w:r>
      <w:r w:rsidR="00DD6902" w:rsidRPr="00DD6902">
        <w:rPr>
          <w:rFonts w:ascii="Times New Roman" w:hAnsi="Times New Roman" w:cs="Times New Roman"/>
          <w:sz w:val="24"/>
          <w:szCs w:val="24"/>
          <w:lang w:eastAsia="en-US"/>
        </w:rPr>
        <w:t xml:space="preserve"> </w:t>
      </w:r>
      <w:r w:rsidR="00DD6902" w:rsidRPr="00DD6902">
        <w:rPr>
          <w:rFonts w:ascii="Times New Roman" w:hAnsi="Times New Roman" w:cs="Times New Roman"/>
          <w:sz w:val="24"/>
          <w:szCs w:val="24"/>
        </w:rPr>
        <w:t>(</w:t>
      </w:r>
      <w:proofErr w:type="spellStart"/>
      <w:r w:rsidR="00DD6902" w:rsidRPr="00DD6902">
        <w:rPr>
          <w:rFonts w:ascii="Times New Roman" w:hAnsi="Times New Roman" w:cs="Times New Roman"/>
          <w:sz w:val="24"/>
          <w:szCs w:val="24"/>
        </w:rPr>
        <w:t>ndr</w:t>
      </w:r>
      <w:proofErr w:type="spellEnd"/>
      <w:r w:rsidR="00DD6902" w:rsidRPr="00DD6902">
        <w:rPr>
          <w:rFonts w:ascii="Times New Roman" w:hAnsi="Times New Roman" w:cs="Times New Roman"/>
          <w:sz w:val="24"/>
          <w:szCs w:val="24"/>
        </w:rPr>
        <w:t>: enfasi aggiunta)</w:t>
      </w:r>
      <w:r w:rsidR="00DD6902">
        <w:rPr>
          <w:rFonts w:ascii="Times New Roman" w:hAnsi="Times New Roman" w:cs="Times New Roman"/>
          <w:sz w:val="24"/>
          <w:szCs w:val="24"/>
        </w:rPr>
        <w:t>.</w:t>
      </w:r>
      <w:r w:rsidRPr="001F7A3A">
        <w:rPr>
          <w:rFonts w:ascii="Times New Roman" w:hAnsi="Times New Roman" w:cs="Times New Roman"/>
          <w:sz w:val="24"/>
          <w:szCs w:val="24"/>
        </w:rPr>
        <w:t>”</w:t>
      </w:r>
    </w:p>
    <w:p w14:paraId="0EB66AB8" w14:textId="77777777" w:rsidR="000A4E46" w:rsidRDefault="000A4E46" w:rsidP="00890C99">
      <w:pPr>
        <w:jc w:val="both"/>
        <w:rPr>
          <w:rFonts w:ascii="Times New Roman" w:eastAsia="Times New Roman" w:hAnsi="Times New Roman" w:cs="Times New Roman"/>
          <w:sz w:val="24"/>
          <w:szCs w:val="24"/>
        </w:rPr>
      </w:pPr>
    </w:p>
    <w:p w14:paraId="20D88178" w14:textId="37710476" w:rsidR="00890C99" w:rsidRDefault="000A4E46" w:rsidP="00890C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Posto che a </w:t>
      </w:r>
      <w:r w:rsidR="00607EC6" w:rsidRPr="001F7A3A">
        <w:rPr>
          <w:rFonts w:ascii="Times New Roman" w:eastAsia="Times New Roman" w:hAnsi="Times New Roman" w:cs="Times New Roman"/>
          <w:sz w:val="24"/>
          <w:szCs w:val="24"/>
        </w:rPr>
        <w:t>seguito della</w:t>
      </w:r>
      <w:r w:rsidR="00890C99" w:rsidRPr="001F7A3A">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predetta</w:t>
      </w:r>
      <w:proofErr w:type="gramEnd"/>
      <w:r>
        <w:rPr>
          <w:rFonts w:ascii="Times New Roman" w:eastAsia="Times New Roman" w:hAnsi="Times New Roman" w:cs="Times New Roman"/>
          <w:sz w:val="24"/>
          <w:szCs w:val="24"/>
        </w:rPr>
        <w:t xml:space="preserve"> </w:t>
      </w:r>
      <w:r w:rsidR="00890C99" w:rsidRPr="001F7A3A">
        <w:rPr>
          <w:rFonts w:ascii="Times New Roman" w:eastAsia="Times New Roman" w:hAnsi="Times New Roman" w:cs="Times New Roman"/>
          <w:sz w:val="24"/>
          <w:szCs w:val="24"/>
        </w:rPr>
        <w:t>sent</w:t>
      </w:r>
      <w:r>
        <w:rPr>
          <w:rFonts w:ascii="Times New Roman" w:eastAsia="Times New Roman" w:hAnsi="Times New Roman" w:cs="Times New Roman"/>
          <w:sz w:val="24"/>
          <w:szCs w:val="24"/>
        </w:rPr>
        <w:t>enza</w:t>
      </w:r>
      <w:r w:rsidR="00890C99" w:rsidRPr="001F7A3A">
        <w:rPr>
          <w:rFonts w:ascii="Times New Roman" w:eastAsia="Times New Roman" w:hAnsi="Times New Roman" w:cs="Times New Roman"/>
          <w:sz w:val="24"/>
          <w:szCs w:val="24"/>
        </w:rPr>
        <w:t xml:space="preserve"> la Prima Sezione </w:t>
      </w:r>
      <w:r>
        <w:rPr>
          <w:rFonts w:ascii="Times New Roman" w:eastAsia="Times New Roman" w:hAnsi="Times New Roman" w:cs="Times New Roman"/>
          <w:sz w:val="24"/>
          <w:szCs w:val="24"/>
        </w:rPr>
        <w:t xml:space="preserve">Civile </w:t>
      </w:r>
      <w:r w:rsidR="00890C99" w:rsidRPr="001F7A3A">
        <w:rPr>
          <w:rFonts w:ascii="Times New Roman" w:eastAsia="Times New Roman" w:hAnsi="Times New Roman" w:cs="Times New Roman"/>
          <w:sz w:val="24"/>
          <w:szCs w:val="24"/>
        </w:rPr>
        <w:t>di questo Tribunale ha adottato indicazioni operative per i ricorsi per decreto ingiuntivo</w:t>
      </w:r>
      <w:r>
        <w:rPr>
          <w:rFonts w:ascii="Times New Roman" w:eastAsia="Times New Roman" w:hAnsi="Times New Roman" w:cs="Times New Roman"/>
          <w:sz w:val="24"/>
          <w:szCs w:val="24"/>
        </w:rPr>
        <w:t xml:space="preserve"> (p</w:t>
      </w:r>
      <w:r w:rsidR="00890C99" w:rsidRPr="001F7A3A">
        <w:rPr>
          <w:rFonts w:ascii="Times New Roman" w:eastAsia="Times New Roman" w:hAnsi="Times New Roman" w:cs="Times New Roman"/>
          <w:sz w:val="24"/>
          <w:szCs w:val="24"/>
        </w:rPr>
        <w:t>ubblicate nel sito web del Tribunale di Bolzano</w:t>
      </w:r>
      <w:r w:rsidR="0082484A">
        <w:rPr>
          <w:rStyle w:val="Rimandonotaapidipagina"/>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s</w:t>
      </w:r>
      <w:r w:rsidR="00890C99" w:rsidRPr="001F7A3A">
        <w:rPr>
          <w:rFonts w:ascii="Times New Roman" w:eastAsia="Times New Roman" w:hAnsi="Times New Roman" w:cs="Times New Roman"/>
          <w:sz w:val="24"/>
          <w:szCs w:val="24"/>
        </w:rPr>
        <w:t>i ritiene opportuno adottare analoghe indicazioni operative per le esecuzioni immobiliari</w:t>
      </w:r>
      <w:r>
        <w:rPr>
          <w:rFonts w:ascii="Times New Roman" w:eastAsia="Times New Roman" w:hAnsi="Times New Roman" w:cs="Times New Roman"/>
          <w:sz w:val="24"/>
          <w:szCs w:val="24"/>
        </w:rPr>
        <w:t xml:space="preserve"> a tutela dei debitori-consumatori.</w:t>
      </w:r>
      <w:r w:rsidR="00890C99" w:rsidRPr="001F7A3A">
        <w:rPr>
          <w:rFonts w:ascii="Times New Roman" w:eastAsia="Times New Roman" w:hAnsi="Times New Roman" w:cs="Times New Roman"/>
          <w:sz w:val="24"/>
          <w:szCs w:val="24"/>
        </w:rPr>
        <w:t xml:space="preserve"> </w:t>
      </w:r>
    </w:p>
    <w:p w14:paraId="05C4F152" w14:textId="77777777" w:rsidR="000A4E46" w:rsidRPr="001F7A3A" w:rsidRDefault="000A4E46" w:rsidP="00890C99">
      <w:pPr>
        <w:jc w:val="both"/>
        <w:rPr>
          <w:rFonts w:ascii="Times New Roman" w:eastAsia="Times New Roman" w:hAnsi="Times New Roman" w:cs="Times New Roman"/>
          <w:sz w:val="24"/>
          <w:szCs w:val="24"/>
        </w:rPr>
      </w:pPr>
    </w:p>
    <w:p w14:paraId="098B3F1B" w14:textId="567388F2" w:rsidR="00890C99" w:rsidRPr="004A7846" w:rsidRDefault="00EB64F3" w:rsidP="00890C99">
      <w:pPr>
        <w:jc w:val="both"/>
        <w:rPr>
          <w:rFonts w:ascii="Times New Roman" w:hAnsi="Times New Roman" w:cs="Times New Roman"/>
          <w:bCs/>
          <w:sz w:val="24"/>
          <w:szCs w:val="24"/>
        </w:rPr>
      </w:pPr>
      <w:r w:rsidRPr="004A7846">
        <w:rPr>
          <w:rFonts w:ascii="Times New Roman" w:eastAsia="Times New Roman" w:hAnsi="Times New Roman" w:cs="Times New Roman"/>
          <w:sz w:val="24"/>
          <w:szCs w:val="24"/>
        </w:rPr>
        <w:t>Al riguardo, si</w:t>
      </w:r>
      <w:r w:rsidR="00890C99" w:rsidRPr="004A7846">
        <w:rPr>
          <w:rFonts w:ascii="Times New Roman" w:eastAsia="Times New Roman" w:hAnsi="Times New Roman" w:cs="Times New Roman"/>
          <w:sz w:val="24"/>
          <w:szCs w:val="24"/>
        </w:rPr>
        <w:t xml:space="preserve"> osserv</w:t>
      </w:r>
      <w:r w:rsidR="000A4E46">
        <w:rPr>
          <w:rFonts w:ascii="Times New Roman" w:eastAsia="Times New Roman" w:hAnsi="Times New Roman" w:cs="Times New Roman"/>
          <w:sz w:val="24"/>
          <w:szCs w:val="24"/>
        </w:rPr>
        <w:t>a</w:t>
      </w:r>
      <w:r w:rsidR="00890C99" w:rsidRPr="004A7846">
        <w:rPr>
          <w:rFonts w:ascii="Times New Roman" w:eastAsia="Times New Roman" w:hAnsi="Times New Roman" w:cs="Times New Roman"/>
          <w:sz w:val="24"/>
          <w:szCs w:val="24"/>
        </w:rPr>
        <w:t xml:space="preserve"> </w:t>
      </w:r>
      <w:r w:rsidR="000A4E46">
        <w:rPr>
          <w:rFonts w:ascii="Times New Roman" w:eastAsia="Times New Roman" w:hAnsi="Times New Roman" w:cs="Times New Roman"/>
          <w:sz w:val="24"/>
          <w:szCs w:val="24"/>
        </w:rPr>
        <w:t xml:space="preserve">altresì </w:t>
      </w:r>
      <w:r w:rsidR="00890C99" w:rsidRPr="004A7846">
        <w:rPr>
          <w:rFonts w:ascii="Times New Roman" w:eastAsia="Times New Roman" w:hAnsi="Times New Roman" w:cs="Times New Roman"/>
          <w:sz w:val="24"/>
          <w:szCs w:val="24"/>
        </w:rPr>
        <w:t xml:space="preserve">che con </w:t>
      </w:r>
      <w:r w:rsidR="00890C99" w:rsidRPr="004A7846">
        <w:rPr>
          <w:rFonts w:ascii="Times New Roman" w:hAnsi="Times New Roman" w:cs="Times New Roman"/>
          <w:bCs/>
          <w:sz w:val="24"/>
          <w:szCs w:val="24"/>
        </w:rPr>
        <w:t>la sentenza della CGUE emessa in data 26 giugno 2019 (C</w:t>
      </w:r>
      <w:r w:rsidR="00890C99" w:rsidRPr="004A7846">
        <w:rPr>
          <w:rFonts w:ascii="Times New Roman" w:hAnsi="Times New Roman" w:cs="Times New Roman"/>
          <w:bCs/>
          <w:sz w:val="24"/>
          <w:szCs w:val="24"/>
        </w:rPr>
        <w:noBreakHyphen/>
        <w:t xml:space="preserve">407/18, </w:t>
      </w:r>
      <w:proofErr w:type="spellStart"/>
      <w:r w:rsidR="00890C99" w:rsidRPr="004A7846">
        <w:rPr>
          <w:rFonts w:ascii="Times New Roman" w:hAnsi="Times New Roman" w:cs="Times New Roman"/>
          <w:bCs/>
          <w:sz w:val="24"/>
          <w:szCs w:val="24"/>
        </w:rPr>
        <w:t>Aleš</w:t>
      </w:r>
      <w:proofErr w:type="spellEnd"/>
      <w:r w:rsidR="00890C99" w:rsidRPr="004A7846">
        <w:rPr>
          <w:rFonts w:ascii="Times New Roman" w:hAnsi="Times New Roman" w:cs="Times New Roman"/>
          <w:bCs/>
          <w:sz w:val="24"/>
          <w:szCs w:val="24"/>
        </w:rPr>
        <w:t xml:space="preserve"> </w:t>
      </w:r>
      <w:proofErr w:type="spellStart"/>
      <w:r w:rsidR="00890C99" w:rsidRPr="004A7846">
        <w:rPr>
          <w:rFonts w:ascii="Times New Roman" w:hAnsi="Times New Roman" w:cs="Times New Roman"/>
          <w:bCs/>
          <w:sz w:val="24"/>
          <w:szCs w:val="24"/>
        </w:rPr>
        <w:t>Kuhar</w:t>
      </w:r>
      <w:proofErr w:type="spellEnd"/>
      <w:r w:rsidR="00890C99" w:rsidRPr="004A7846">
        <w:rPr>
          <w:rFonts w:ascii="Times New Roman" w:hAnsi="Times New Roman" w:cs="Times New Roman"/>
          <w:bCs/>
          <w:sz w:val="24"/>
          <w:szCs w:val="24"/>
        </w:rPr>
        <w:t xml:space="preserve"> e </w:t>
      </w:r>
      <w:proofErr w:type="spellStart"/>
      <w:r w:rsidR="00890C99" w:rsidRPr="004A7846">
        <w:rPr>
          <w:rFonts w:ascii="Times New Roman" w:hAnsi="Times New Roman" w:cs="Times New Roman"/>
          <w:bCs/>
          <w:sz w:val="24"/>
          <w:szCs w:val="24"/>
        </w:rPr>
        <w:t>Jožef</w:t>
      </w:r>
      <w:proofErr w:type="spellEnd"/>
      <w:r w:rsidR="00890C99" w:rsidRPr="004A7846">
        <w:rPr>
          <w:rFonts w:ascii="Times New Roman" w:hAnsi="Times New Roman" w:cs="Times New Roman"/>
          <w:bCs/>
          <w:sz w:val="24"/>
          <w:szCs w:val="24"/>
        </w:rPr>
        <w:t xml:space="preserve"> </w:t>
      </w:r>
      <w:proofErr w:type="spellStart"/>
      <w:r w:rsidR="00890C99" w:rsidRPr="004A7846">
        <w:rPr>
          <w:rFonts w:ascii="Times New Roman" w:hAnsi="Times New Roman" w:cs="Times New Roman"/>
          <w:bCs/>
          <w:sz w:val="24"/>
          <w:szCs w:val="24"/>
        </w:rPr>
        <w:t>Kuhar</w:t>
      </w:r>
      <w:proofErr w:type="spellEnd"/>
      <w:r w:rsidR="00890C99" w:rsidRPr="004A7846">
        <w:rPr>
          <w:rFonts w:ascii="Times New Roman" w:hAnsi="Times New Roman" w:cs="Times New Roman"/>
          <w:bCs/>
          <w:sz w:val="24"/>
          <w:szCs w:val="24"/>
        </w:rPr>
        <w:t xml:space="preserve"> contro </w:t>
      </w:r>
      <w:proofErr w:type="spellStart"/>
      <w:r w:rsidR="00890C99" w:rsidRPr="004A7846">
        <w:rPr>
          <w:rFonts w:ascii="Times New Roman" w:hAnsi="Times New Roman" w:cs="Times New Roman"/>
          <w:bCs/>
          <w:sz w:val="24"/>
          <w:szCs w:val="24"/>
        </w:rPr>
        <w:t>Addiko</w:t>
      </w:r>
      <w:proofErr w:type="spellEnd"/>
      <w:r w:rsidR="00890C99" w:rsidRPr="004A7846">
        <w:rPr>
          <w:rFonts w:ascii="Times New Roman" w:hAnsi="Times New Roman" w:cs="Times New Roman"/>
          <w:bCs/>
          <w:sz w:val="24"/>
          <w:szCs w:val="24"/>
        </w:rPr>
        <w:t xml:space="preserve"> Bank), è stato </w:t>
      </w:r>
      <w:r w:rsidRPr="004A7846">
        <w:rPr>
          <w:rFonts w:ascii="Times New Roman" w:hAnsi="Times New Roman" w:cs="Times New Roman"/>
          <w:bCs/>
          <w:sz w:val="24"/>
          <w:szCs w:val="24"/>
        </w:rPr>
        <w:t>affermato</w:t>
      </w:r>
      <w:r w:rsidR="00890C99" w:rsidRPr="004A7846">
        <w:rPr>
          <w:rFonts w:ascii="Times New Roman" w:hAnsi="Times New Roman" w:cs="Times New Roman"/>
          <w:bCs/>
          <w:sz w:val="24"/>
          <w:szCs w:val="24"/>
        </w:rPr>
        <w:t xml:space="preserve"> quanto segue: </w:t>
      </w:r>
    </w:p>
    <w:p w14:paraId="3E00AD39" w14:textId="38D25B5C" w:rsidR="00890C99" w:rsidRDefault="00890C99" w:rsidP="00890C99">
      <w:pPr>
        <w:jc w:val="both"/>
        <w:rPr>
          <w:rFonts w:ascii="Times New Roman" w:hAnsi="Times New Roman" w:cs="Times New Roman"/>
          <w:sz w:val="24"/>
          <w:szCs w:val="24"/>
        </w:rPr>
      </w:pPr>
      <w:r w:rsidRPr="00EB64F3">
        <w:rPr>
          <w:rFonts w:ascii="Times New Roman" w:hAnsi="Times New Roman" w:cs="Times New Roman"/>
          <w:bCs/>
          <w:i/>
          <w:iCs/>
          <w:sz w:val="24"/>
          <w:szCs w:val="24"/>
        </w:rPr>
        <w:t>“L</w:t>
      </w:r>
      <w:r w:rsidRPr="00EB64F3">
        <w:rPr>
          <w:rFonts w:ascii="Times New Roman" w:hAnsi="Times New Roman" w:cs="Times New Roman"/>
          <w:i/>
          <w:iCs/>
          <w:sz w:val="24"/>
          <w:szCs w:val="24"/>
        </w:rPr>
        <w:t xml:space="preserve">a direttiva 93/13/CEE del Consiglio, del 5 aprile 1993, concernente le clausole abusive nei contratti stipulati con i consumatori, deve essere interpretata, alla luce del principio di effettività, nel senso che essa </w:t>
      </w:r>
      <w:r w:rsidRPr="00D34CA0">
        <w:rPr>
          <w:rFonts w:ascii="Times New Roman" w:hAnsi="Times New Roman" w:cs="Times New Roman"/>
          <w:b/>
          <w:bCs/>
          <w:i/>
          <w:iCs/>
          <w:sz w:val="24"/>
          <w:szCs w:val="24"/>
        </w:rPr>
        <w:t>osta a una normativa nazionale</w:t>
      </w:r>
      <w:r w:rsidRPr="00EB64F3">
        <w:rPr>
          <w:rFonts w:ascii="Times New Roman" w:hAnsi="Times New Roman" w:cs="Times New Roman"/>
          <w:i/>
          <w:iCs/>
          <w:sz w:val="24"/>
          <w:szCs w:val="24"/>
        </w:rPr>
        <w:t xml:space="preserve">, quale quella di cui trattasi nel procedimento principale, in forza della quale il giudice nazionale investito di una domanda di esecuzione forzata di un contratto di </w:t>
      </w:r>
      <w:r w:rsidRPr="00D34CA0">
        <w:rPr>
          <w:rFonts w:ascii="Times New Roman" w:hAnsi="Times New Roman" w:cs="Times New Roman"/>
          <w:b/>
          <w:bCs/>
          <w:i/>
          <w:iCs/>
          <w:sz w:val="24"/>
          <w:szCs w:val="24"/>
        </w:rPr>
        <w:t>mutuo ipotecario, stipulato tra un professionista e un consumatore sotto forma di atto notarile direttamente esecutivo</w:t>
      </w:r>
      <w:r w:rsidRPr="00EB64F3">
        <w:rPr>
          <w:rFonts w:ascii="Times New Roman" w:hAnsi="Times New Roman" w:cs="Times New Roman"/>
          <w:i/>
          <w:iCs/>
          <w:sz w:val="24"/>
          <w:szCs w:val="24"/>
        </w:rPr>
        <w:t xml:space="preserve">, non dispone della possibilità di verificare, su istanza del consumatore o d’ufficio, </w:t>
      </w:r>
      <w:r w:rsidRPr="00D34CA0">
        <w:rPr>
          <w:rFonts w:ascii="Times New Roman" w:hAnsi="Times New Roman" w:cs="Times New Roman"/>
          <w:b/>
          <w:bCs/>
          <w:i/>
          <w:iCs/>
          <w:sz w:val="24"/>
          <w:szCs w:val="24"/>
        </w:rPr>
        <w:t>se le clausole contenute in un simile atto abbiano carattere abusivo</w:t>
      </w:r>
      <w:r w:rsidRPr="00EB64F3">
        <w:rPr>
          <w:rFonts w:ascii="Times New Roman" w:hAnsi="Times New Roman" w:cs="Times New Roman"/>
          <w:i/>
          <w:iCs/>
          <w:sz w:val="24"/>
          <w:szCs w:val="24"/>
        </w:rPr>
        <w:t xml:space="preserve"> ai sensi di tale direttiva e, su tale base, di sospendere l’esecuzione forzata richiesta</w:t>
      </w:r>
      <w:r w:rsidRPr="00EB64F3">
        <w:rPr>
          <w:rFonts w:ascii="Times New Roman" w:hAnsi="Times New Roman" w:cs="Times New Roman"/>
          <w:sz w:val="24"/>
          <w:szCs w:val="24"/>
        </w:rPr>
        <w:t>”</w:t>
      </w:r>
      <w:r w:rsidR="00D34CA0">
        <w:rPr>
          <w:rFonts w:ascii="Times New Roman" w:hAnsi="Times New Roman" w:cs="Times New Roman"/>
          <w:sz w:val="24"/>
          <w:szCs w:val="24"/>
        </w:rPr>
        <w:t xml:space="preserve"> (</w:t>
      </w:r>
      <w:proofErr w:type="spellStart"/>
      <w:r w:rsidR="00D34CA0">
        <w:rPr>
          <w:rFonts w:ascii="Times New Roman" w:hAnsi="Times New Roman" w:cs="Times New Roman"/>
          <w:sz w:val="24"/>
          <w:szCs w:val="24"/>
        </w:rPr>
        <w:t>ndr</w:t>
      </w:r>
      <w:proofErr w:type="spellEnd"/>
      <w:r w:rsidR="00D34CA0">
        <w:rPr>
          <w:rFonts w:ascii="Times New Roman" w:hAnsi="Times New Roman" w:cs="Times New Roman"/>
          <w:sz w:val="24"/>
          <w:szCs w:val="24"/>
        </w:rPr>
        <w:t>: enfasi aggiunta).</w:t>
      </w:r>
    </w:p>
    <w:p w14:paraId="61235BE1" w14:textId="02EB7F5C" w:rsidR="001F7A3A" w:rsidRPr="001F7A3A" w:rsidRDefault="001F7A3A" w:rsidP="001F7A3A">
      <w:pPr>
        <w:jc w:val="both"/>
        <w:rPr>
          <w:rFonts w:ascii="Times New Roman" w:hAnsi="Times New Roman" w:cs="Times New Roman"/>
          <w:sz w:val="24"/>
          <w:szCs w:val="24"/>
        </w:rPr>
      </w:pPr>
      <w:r w:rsidRPr="00EB64F3">
        <w:rPr>
          <w:rFonts w:ascii="Times New Roman" w:hAnsi="Times New Roman" w:cs="Times New Roman"/>
          <w:sz w:val="24"/>
          <w:szCs w:val="24"/>
        </w:rPr>
        <w:t xml:space="preserve">Si ritiene quindi che i </w:t>
      </w:r>
      <w:r w:rsidR="00F41DEF">
        <w:rPr>
          <w:rFonts w:ascii="Times New Roman" w:hAnsi="Times New Roman" w:cs="Times New Roman"/>
          <w:sz w:val="24"/>
          <w:szCs w:val="24"/>
        </w:rPr>
        <w:t>controlli giurisdizionali riguardino anche i titoli di formazione stragiudiziale.</w:t>
      </w:r>
    </w:p>
    <w:p w14:paraId="042E0637" w14:textId="428FFD70" w:rsidR="00890C99" w:rsidRPr="00890C99" w:rsidRDefault="00D34CA0" w:rsidP="00890C9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w:t>
      </w:r>
      <w:r w:rsidR="00890C99" w:rsidRPr="00890C99">
        <w:rPr>
          <w:rFonts w:ascii="Times New Roman" w:eastAsia="Times New Roman" w:hAnsi="Times New Roman" w:cs="Times New Roman"/>
          <w:b/>
          <w:bCs/>
          <w:sz w:val="24"/>
          <w:szCs w:val="24"/>
        </w:rPr>
        <w:t>i invitano</w:t>
      </w:r>
    </w:p>
    <w:p w14:paraId="74B12167" w14:textId="6F6A9115" w:rsidR="00890C99" w:rsidRPr="00DD6902" w:rsidRDefault="001F7A3A" w:rsidP="00DD6902">
      <w:pPr>
        <w:jc w:val="both"/>
        <w:rPr>
          <w:rFonts w:ascii="Times New Roman" w:eastAsia="Times New Roman" w:hAnsi="Times New Roman" w:cs="Times New Roman"/>
          <w:sz w:val="24"/>
          <w:szCs w:val="24"/>
        </w:rPr>
      </w:pPr>
      <w:proofErr w:type="gramStart"/>
      <w:r w:rsidRPr="00890C99">
        <w:rPr>
          <w:rFonts w:ascii="Times New Roman" w:eastAsia="Times New Roman" w:hAnsi="Times New Roman" w:cs="Times New Roman"/>
          <w:sz w:val="24"/>
          <w:szCs w:val="24"/>
        </w:rPr>
        <w:t>pertanto</w:t>
      </w:r>
      <w:proofErr w:type="gramEnd"/>
      <w:r w:rsidR="00890C99" w:rsidRPr="00890C99">
        <w:rPr>
          <w:rFonts w:ascii="Times New Roman" w:eastAsia="Times New Roman" w:hAnsi="Times New Roman" w:cs="Times New Roman"/>
          <w:sz w:val="24"/>
          <w:szCs w:val="24"/>
        </w:rPr>
        <w:t xml:space="preserve"> gli </w:t>
      </w:r>
      <w:r w:rsidR="00D34CA0">
        <w:rPr>
          <w:rFonts w:ascii="Times New Roman" w:eastAsia="Times New Roman" w:hAnsi="Times New Roman" w:cs="Times New Roman"/>
          <w:sz w:val="24"/>
          <w:szCs w:val="24"/>
        </w:rPr>
        <w:t>A</w:t>
      </w:r>
      <w:r w:rsidR="00890C99" w:rsidRPr="00890C99">
        <w:rPr>
          <w:rFonts w:ascii="Times New Roman" w:eastAsia="Times New Roman" w:hAnsi="Times New Roman" w:cs="Times New Roman"/>
          <w:sz w:val="24"/>
          <w:szCs w:val="24"/>
        </w:rPr>
        <w:t xml:space="preserve">vvocati </w:t>
      </w:r>
      <w:r w:rsidR="00DD6902">
        <w:rPr>
          <w:rFonts w:ascii="Times New Roman" w:eastAsia="Times New Roman" w:hAnsi="Times New Roman" w:cs="Times New Roman"/>
          <w:sz w:val="24"/>
          <w:szCs w:val="24"/>
        </w:rPr>
        <w:t xml:space="preserve">dei creditori </w:t>
      </w:r>
      <w:r w:rsidR="00890C99" w:rsidRPr="00890C99">
        <w:rPr>
          <w:rFonts w:ascii="Times New Roman" w:eastAsia="Times New Roman" w:hAnsi="Times New Roman" w:cs="Times New Roman"/>
          <w:sz w:val="24"/>
          <w:szCs w:val="24"/>
        </w:rPr>
        <w:t xml:space="preserve">ad attenersi alle seguenti </w:t>
      </w:r>
      <w:r w:rsidR="00890C99" w:rsidRPr="000A4E46">
        <w:rPr>
          <w:rFonts w:ascii="Times New Roman" w:eastAsia="Times New Roman" w:hAnsi="Times New Roman" w:cs="Times New Roman"/>
          <w:b/>
          <w:bCs/>
          <w:sz w:val="24"/>
          <w:szCs w:val="24"/>
          <w:u w:val="single"/>
        </w:rPr>
        <w:t>indicazioni operative</w:t>
      </w:r>
      <w:r w:rsidR="00890C99" w:rsidRPr="00DD6902">
        <w:rPr>
          <w:rFonts w:ascii="Times New Roman" w:eastAsia="Times New Roman" w:hAnsi="Times New Roman" w:cs="Times New Roman"/>
          <w:sz w:val="24"/>
          <w:szCs w:val="24"/>
        </w:rPr>
        <w:t xml:space="preserve">: </w:t>
      </w:r>
    </w:p>
    <w:p w14:paraId="4A5B59D0" w14:textId="62A55D6F" w:rsidR="00890C99" w:rsidRPr="00DD6902" w:rsidRDefault="00890C99" w:rsidP="00DD6902">
      <w:pPr>
        <w:pStyle w:val="Paragrafoelenco"/>
        <w:numPr>
          <w:ilvl w:val="0"/>
          <w:numId w:val="28"/>
        </w:numPr>
        <w:spacing w:line="360" w:lineRule="auto"/>
        <w:jc w:val="both"/>
        <w:rPr>
          <w:rFonts w:ascii="Times New Roman" w:eastAsia="Times New Roman" w:hAnsi="Times New Roman" w:cs="Times New Roman"/>
          <w:sz w:val="24"/>
          <w:szCs w:val="24"/>
        </w:rPr>
      </w:pPr>
      <w:r w:rsidRPr="00DD6902">
        <w:rPr>
          <w:rFonts w:ascii="Times New Roman" w:eastAsia="Times New Roman" w:hAnsi="Times New Roman" w:cs="Times New Roman"/>
          <w:b/>
          <w:bCs/>
          <w:sz w:val="24"/>
          <w:szCs w:val="24"/>
        </w:rPr>
        <w:t xml:space="preserve">indicare se la parte </w:t>
      </w:r>
      <w:r w:rsidR="004B376A" w:rsidRPr="00DD6902">
        <w:rPr>
          <w:rFonts w:ascii="Times New Roman" w:eastAsia="Times New Roman" w:hAnsi="Times New Roman" w:cs="Times New Roman"/>
          <w:b/>
          <w:bCs/>
          <w:sz w:val="24"/>
          <w:szCs w:val="24"/>
        </w:rPr>
        <w:t>debitrice</w:t>
      </w:r>
      <w:r w:rsidRPr="00DD6902">
        <w:rPr>
          <w:rFonts w:ascii="Times New Roman" w:eastAsia="Times New Roman" w:hAnsi="Times New Roman" w:cs="Times New Roman"/>
          <w:b/>
          <w:bCs/>
          <w:sz w:val="24"/>
          <w:szCs w:val="24"/>
        </w:rPr>
        <w:t xml:space="preserve"> è o meno consumatore</w:t>
      </w:r>
      <w:r w:rsidRPr="00DD6902">
        <w:rPr>
          <w:rFonts w:ascii="Times New Roman" w:eastAsia="Times New Roman" w:hAnsi="Times New Roman" w:cs="Times New Roman"/>
          <w:sz w:val="24"/>
          <w:szCs w:val="24"/>
        </w:rPr>
        <w:t>; in caso negativo fornirne prova;</w:t>
      </w:r>
    </w:p>
    <w:p w14:paraId="2D9161E5" w14:textId="01ABE84C" w:rsidR="00890C99" w:rsidRPr="00DD6902" w:rsidRDefault="00890C99" w:rsidP="00DD6902">
      <w:pPr>
        <w:pStyle w:val="Paragrafoelenco"/>
        <w:numPr>
          <w:ilvl w:val="0"/>
          <w:numId w:val="28"/>
        </w:numPr>
        <w:spacing w:line="360" w:lineRule="auto"/>
        <w:jc w:val="both"/>
        <w:rPr>
          <w:rFonts w:ascii="Times New Roman" w:eastAsia="Times New Roman" w:hAnsi="Times New Roman" w:cs="Times New Roman"/>
          <w:sz w:val="24"/>
          <w:szCs w:val="24"/>
        </w:rPr>
      </w:pPr>
      <w:r w:rsidRPr="00DD6902">
        <w:rPr>
          <w:rFonts w:ascii="Times New Roman" w:eastAsia="Times New Roman" w:hAnsi="Times New Roman" w:cs="Times New Roman"/>
          <w:sz w:val="24"/>
          <w:szCs w:val="24"/>
        </w:rPr>
        <w:t>indicare se esiste o meno contratto scritto,</w:t>
      </w:r>
    </w:p>
    <w:p w14:paraId="3D656628" w14:textId="09C9BE57" w:rsidR="00890C99" w:rsidRPr="00DD6902" w:rsidRDefault="00890C99" w:rsidP="00DD6902">
      <w:pPr>
        <w:pStyle w:val="Paragrafoelenco"/>
        <w:numPr>
          <w:ilvl w:val="0"/>
          <w:numId w:val="28"/>
        </w:numPr>
        <w:spacing w:line="360" w:lineRule="auto"/>
        <w:jc w:val="both"/>
        <w:rPr>
          <w:rFonts w:ascii="Times New Roman" w:eastAsia="Times New Roman" w:hAnsi="Times New Roman" w:cs="Times New Roman"/>
          <w:sz w:val="24"/>
          <w:szCs w:val="24"/>
        </w:rPr>
      </w:pPr>
      <w:r w:rsidRPr="00DD6902">
        <w:rPr>
          <w:rFonts w:ascii="Times New Roman" w:eastAsia="Times New Roman" w:hAnsi="Times New Roman" w:cs="Times New Roman"/>
          <w:sz w:val="24"/>
          <w:szCs w:val="24"/>
        </w:rPr>
        <w:t xml:space="preserve">produrre una copia leggibile del contratto, con pagine ordinate in modo progressivo e tutte orientate nello stesso verso, </w:t>
      </w:r>
    </w:p>
    <w:p w14:paraId="760CEFCF" w14:textId="54B5935B" w:rsidR="00890C99" w:rsidRPr="00DD6902" w:rsidRDefault="00890C99" w:rsidP="00DD6902">
      <w:pPr>
        <w:pStyle w:val="Paragrafoelenco"/>
        <w:numPr>
          <w:ilvl w:val="0"/>
          <w:numId w:val="28"/>
        </w:numPr>
        <w:spacing w:line="360" w:lineRule="auto"/>
        <w:jc w:val="both"/>
        <w:rPr>
          <w:rFonts w:ascii="Times New Roman" w:eastAsia="Times New Roman" w:hAnsi="Times New Roman" w:cs="Times New Roman"/>
          <w:sz w:val="24"/>
          <w:szCs w:val="24"/>
        </w:rPr>
      </w:pPr>
      <w:r w:rsidRPr="00DD6902">
        <w:rPr>
          <w:rFonts w:ascii="Times New Roman" w:eastAsia="Times New Roman" w:hAnsi="Times New Roman" w:cs="Times New Roman"/>
          <w:sz w:val="24"/>
          <w:szCs w:val="24"/>
        </w:rPr>
        <w:t xml:space="preserve">al fine di rendere </w:t>
      </w:r>
      <w:r w:rsidR="00AF1A97" w:rsidRPr="00DD6902">
        <w:rPr>
          <w:rFonts w:ascii="Times New Roman" w:eastAsia="Times New Roman" w:hAnsi="Times New Roman" w:cs="Times New Roman"/>
          <w:sz w:val="24"/>
          <w:szCs w:val="24"/>
        </w:rPr>
        <w:t>p</w:t>
      </w:r>
      <w:r w:rsidRPr="00DD6902">
        <w:rPr>
          <w:rFonts w:ascii="Times New Roman" w:eastAsia="Times New Roman" w:hAnsi="Times New Roman" w:cs="Times New Roman"/>
          <w:sz w:val="24"/>
          <w:szCs w:val="24"/>
        </w:rPr>
        <w:t>ossibili i controlli da eseguire d’ufficio,</w:t>
      </w:r>
      <w:r w:rsidR="006A3067" w:rsidRPr="00DD6902">
        <w:rPr>
          <w:rFonts w:ascii="Times New Roman" w:eastAsia="Times New Roman" w:hAnsi="Times New Roman" w:cs="Times New Roman"/>
          <w:sz w:val="24"/>
          <w:szCs w:val="24"/>
        </w:rPr>
        <w:t xml:space="preserve"> </w:t>
      </w:r>
      <w:r w:rsidR="00AF1A97" w:rsidRPr="00DD6902">
        <w:rPr>
          <w:rFonts w:ascii="Times New Roman" w:eastAsia="Times New Roman" w:hAnsi="Times New Roman" w:cs="Times New Roman"/>
          <w:sz w:val="24"/>
          <w:szCs w:val="24"/>
        </w:rPr>
        <w:t>in merito all’</w:t>
      </w:r>
      <w:r w:rsidR="00AF1A97" w:rsidRPr="00DD6902">
        <w:rPr>
          <w:rFonts w:ascii="Times New Roman" w:hAnsi="Times New Roman" w:cs="Times New Roman"/>
          <w:sz w:val="24"/>
          <w:szCs w:val="24"/>
        </w:rPr>
        <w:t>esistenza e/o sull’entità del credito oggetto del titolo esecutivo:</w:t>
      </w:r>
    </w:p>
    <w:p w14:paraId="6958CBE3" w14:textId="6C921615" w:rsidR="00890C99" w:rsidRPr="00890C99" w:rsidRDefault="00890C99" w:rsidP="00DD6902">
      <w:pPr>
        <w:numPr>
          <w:ilvl w:val="0"/>
          <w:numId w:val="30"/>
        </w:numPr>
        <w:jc w:val="both"/>
        <w:rPr>
          <w:rFonts w:ascii="Times New Roman" w:eastAsia="Times New Roman" w:hAnsi="Times New Roman" w:cs="Times New Roman"/>
          <w:sz w:val="24"/>
          <w:szCs w:val="24"/>
        </w:rPr>
      </w:pPr>
      <w:r w:rsidRPr="00890C99">
        <w:rPr>
          <w:rFonts w:ascii="Times New Roman" w:eastAsia="Times New Roman" w:hAnsi="Times New Roman" w:cs="Times New Roman"/>
          <w:sz w:val="24"/>
          <w:szCs w:val="24"/>
        </w:rPr>
        <w:t>illustrare sinteticamente la natura del rapporto contrattuale e lo svolgimento dello stesso, allegando in maniera specifica/circostanziata l’inadempimento del debitore</w:t>
      </w:r>
      <w:r w:rsidR="000A4E46">
        <w:rPr>
          <w:rFonts w:ascii="Times New Roman" w:eastAsia="Times New Roman" w:hAnsi="Times New Roman" w:cs="Times New Roman"/>
          <w:sz w:val="24"/>
          <w:szCs w:val="24"/>
        </w:rPr>
        <w:t>;</w:t>
      </w:r>
    </w:p>
    <w:p w14:paraId="0E92AEB1" w14:textId="77777777" w:rsidR="00890C99" w:rsidRPr="00890C99" w:rsidRDefault="00890C99" w:rsidP="00DD6902">
      <w:pPr>
        <w:numPr>
          <w:ilvl w:val="0"/>
          <w:numId w:val="30"/>
        </w:numPr>
        <w:jc w:val="both"/>
        <w:rPr>
          <w:rFonts w:ascii="Times New Roman" w:eastAsia="Times New Roman" w:hAnsi="Times New Roman" w:cs="Times New Roman"/>
          <w:sz w:val="24"/>
          <w:szCs w:val="24"/>
        </w:rPr>
      </w:pPr>
      <w:r w:rsidRPr="00890C99">
        <w:rPr>
          <w:rFonts w:ascii="Times New Roman" w:eastAsia="Times New Roman" w:hAnsi="Times New Roman" w:cs="Times New Roman"/>
          <w:sz w:val="24"/>
          <w:szCs w:val="24"/>
        </w:rPr>
        <w:t xml:space="preserve">indicare di quali singole voci si compone l’importo richiesto e le relative clausole contrattuali rilevanti; </w:t>
      </w:r>
    </w:p>
    <w:p w14:paraId="586FFE96" w14:textId="77777777" w:rsidR="00463A73" w:rsidRDefault="00890C99" w:rsidP="00DD6902">
      <w:pPr>
        <w:numPr>
          <w:ilvl w:val="0"/>
          <w:numId w:val="30"/>
        </w:numPr>
        <w:jc w:val="both"/>
        <w:rPr>
          <w:rFonts w:ascii="Times New Roman" w:eastAsia="Times New Roman" w:hAnsi="Times New Roman" w:cs="Times New Roman"/>
          <w:sz w:val="24"/>
          <w:szCs w:val="24"/>
        </w:rPr>
      </w:pPr>
      <w:r w:rsidRPr="00890C99">
        <w:rPr>
          <w:rFonts w:ascii="Times New Roman" w:eastAsia="Times New Roman" w:hAnsi="Times New Roman" w:cs="Times New Roman"/>
          <w:sz w:val="24"/>
          <w:szCs w:val="24"/>
        </w:rPr>
        <w:t xml:space="preserve">qualora siano stati applicati </w:t>
      </w:r>
      <w:r w:rsidRPr="00354C20">
        <w:rPr>
          <w:rFonts w:ascii="Times New Roman" w:eastAsia="Times New Roman" w:hAnsi="Times New Roman" w:cs="Times New Roman"/>
          <w:b/>
          <w:bCs/>
          <w:sz w:val="24"/>
          <w:szCs w:val="24"/>
        </w:rPr>
        <w:t>interessi di mora, penali, importi per risarcimento e simili</w:t>
      </w:r>
      <w:r w:rsidRPr="00890C99">
        <w:rPr>
          <w:rFonts w:ascii="Times New Roman" w:eastAsia="Times New Roman" w:hAnsi="Times New Roman" w:cs="Times New Roman"/>
          <w:sz w:val="24"/>
          <w:szCs w:val="24"/>
        </w:rPr>
        <w:t xml:space="preserve"> (v. art. 33 co. 2 lett. f cod. consumo), </w:t>
      </w:r>
      <w:r w:rsidRPr="00354C20">
        <w:rPr>
          <w:rFonts w:ascii="Times New Roman" w:eastAsia="Times New Roman" w:hAnsi="Times New Roman" w:cs="Times New Roman"/>
          <w:b/>
          <w:bCs/>
          <w:sz w:val="24"/>
          <w:szCs w:val="24"/>
        </w:rPr>
        <w:t>indicarne misura, base di calcolo, importi calcolati e clausole contrattuali rilevanti</w:t>
      </w:r>
      <w:r w:rsidRPr="00890C99">
        <w:rPr>
          <w:rFonts w:ascii="Times New Roman" w:eastAsia="Times New Roman" w:hAnsi="Times New Roman" w:cs="Times New Roman"/>
          <w:sz w:val="24"/>
          <w:szCs w:val="24"/>
        </w:rPr>
        <w:t>;</w:t>
      </w:r>
    </w:p>
    <w:p w14:paraId="3C068129" w14:textId="77777777" w:rsidR="00354C20" w:rsidRDefault="00890C99" w:rsidP="00354C20">
      <w:pPr>
        <w:pStyle w:val="Paragrafoelenco"/>
        <w:numPr>
          <w:ilvl w:val="0"/>
          <w:numId w:val="28"/>
        </w:numPr>
        <w:spacing w:line="360" w:lineRule="auto"/>
        <w:jc w:val="both"/>
        <w:rPr>
          <w:rFonts w:ascii="Times New Roman" w:eastAsia="Times New Roman" w:hAnsi="Times New Roman" w:cs="Times New Roman"/>
          <w:sz w:val="24"/>
          <w:szCs w:val="24"/>
        </w:rPr>
      </w:pPr>
      <w:r w:rsidRPr="00354C20">
        <w:rPr>
          <w:rFonts w:ascii="Times New Roman" w:eastAsia="Times New Roman" w:hAnsi="Times New Roman" w:cs="Times New Roman"/>
          <w:sz w:val="24"/>
          <w:szCs w:val="24"/>
        </w:rPr>
        <w:t xml:space="preserve">indicare se il creditore (anche </w:t>
      </w:r>
      <w:r w:rsidRPr="00354C20">
        <w:rPr>
          <w:rFonts w:ascii="Times New Roman" w:eastAsia="Times New Roman" w:hAnsi="Times New Roman" w:cs="Times New Roman"/>
          <w:i/>
          <w:iCs/>
          <w:sz w:val="24"/>
          <w:szCs w:val="24"/>
        </w:rPr>
        <w:t>pro tempore</w:t>
      </w:r>
      <w:r w:rsidRPr="00354C20">
        <w:rPr>
          <w:rFonts w:ascii="Times New Roman" w:eastAsia="Times New Roman" w:hAnsi="Times New Roman" w:cs="Times New Roman"/>
          <w:sz w:val="24"/>
          <w:szCs w:val="24"/>
        </w:rPr>
        <w:t xml:space="preserve">) ha effettuato un </w:t>
      </w:r>
      <w:r w:rsidRPr="00354C20">
        <w:rPr>
          <w:rFonts w:ascii="Times New Roman" w:eastAsia="Times New Roman" w:hAnsi="Times New Roman" w:cs="Times New Roman"/>
          <w:b/>
          <w:bCs/>
          <w:sz w:val="24"/>
          <w:szCs w:val="24"/>
        </w:rPr>
        <w:t>recesso</w:t>
      </w:r>
      <w:r w:rsidRPr="00354C20">
        <w:rPr>
          <w:rFonts w:ascii="Times New Roman" w:eastAsia="Times New Roman" w:hAnsi="Times New Roman" w:cs="Times New Roman"/>
          <w:sz w:val="24"/>
          <w:szCs w:val="24"/>
        </w:rPr>
        <w:t xml:space="preserve"> dal contratto, se ha comunicato la </w:t>
      </w:r>
      <w:r w:rsidRPr="00354C20">
        <w:rPr>
          <w:rFonts w:ascii="Times New Roman" w:eastAsia="Times New Roman" w:hAnsi="Times New Roman" w:cs="Times New Roman"/>
          <w:b/>
          <w:bCs/>
          <w:sz w:val="24"/>
          <w:szCs w:val="24"/>
        </w:rPr>
        <w:t>decadenza dal beneficio del termine</w:t>
      </w:r>
      <w:r w:rsidRPr="00354C20">
        <w:rPr>
          <w:rFonts w:ascii="Times New Roman" w:eastAsia="Times New Roman" w:hAnsi="Times New Roman" w:cs="Times New Roman"/>
          <w:sz w:val="24"/>
          <w:szCs w:val="24"/>
        </w:rPr>
        <w:t xml:space="preserve"> o se ha esercitato </w:t>
      </w:r>
      <w:r w:rsidRPr="00354C20">
        <w:rPr>
          <w:rFonts w:ascii="Times New Roman" w:eastAsia="Times New Roman" w:hAnsi="Times New Roman" w:cs="Times New Roman"/>
          <w:b/>
          <w:bCs/>
          <w:sz w:val="24"/>
          <w:szCs w:val="24"/>
        </w:rPr>
        <w:t>altro diritto potestativo</w:t>
      </w:r>
      <w:r w:rsidRPr="00354C20">
        <w:rPr>
          <w:rFonts w:ascii="Times New Roman" w:eastAsia="Times New Roman" w:hAnsi="Times New Roman" w:cs="Times New Roman"/>
          <w:sz w:val="24"/>
          <w:szCs w:val="24"/>
        </w:rPr>
        <w:t>, e allegare, se del caso, la relativa documentazione; illustrare gli importi richiesti come conseguenza di tale condotta, con indicazione delle clausole contrattuali rilevanti;</w:t>
      </w:r>
    </w:p>
    <w:p w14:paraId="25D44AFD" w14:textId="6288269F" w:rsidR="00890C99" w:rsidRDefault="00890C99" w:rsidP="00354C20">
      <w:pPr>
        <w:pStyle w:val="Paragrafoelenco"/>
        <w:numPr>
          <w:ilvl w:val="0"/>
          <w:numId w:val="28"/>
        </w:numPr>
        <w:spacing w:line="360" w:lineRule="auto"/>
        <w:jc w:val="both"/>
        <w:rPr>
          <w:rFonts w:ascii="Times New Roman" w:eastAsia="Times New Roman" w:hAnsi="Times New Roman" w:cs="Times New Roman"/>
          <w:sz w:val="24"/>
          <w:szCs w:val="24"/>
        </w:rPr>
      </w:pPr>
      <w:r w:rsidRPr="00354C20">
        <w:rPr>
          <w:rFonts w:ascii="Times New Roman" w:eastAsia="Times New Roman" w:hAnsi="Times New Roman" w:cs="Times New Roman"/>
          <w:b/>
          <w:bCs/>
          <w:sz w:val="24"/>
          <w:szCs w:val="24"/>
        </w:rPr>
        <w:t>indicare se vi sono delle clausole contrattuali abusive</w:t>
      </w:r>
      <w:r w:rsidRPr="00354C20">
        <w:rPr>
          <w:rFonts w:ascii="Times New Roman" w:eastAsia="Times New Roman" w:hAnsi="Times New Roman" w:cs="Times New Roman"/>
          <w:sz w:val="24"/>
          <w:szCs w:val="24"/>
        </w:rPr>
        <w:t xml:space="preserve"> che possono, in tutto o in parte, ostare </w:t>
      </w:r>
      <w:r w:rsidR="001F7A3A" w:rsidRPr="00354C20">
        <w:rPr>
          <w:rFonts w:ascii="Times New Roman" w:eastAsia="Times New Roman" w:hAnsi="Times New Roman" w:cs="Times New Roman"/>
          <w:sz w:val="24"/>
          <w:szCs w:val="24"/>
        </w:rPr>
        <w:t>all’esecuzione</w:t>
      </w:r>
      <w:r w:rsidRPr="00354C20">
        <w:rPr>
          <w:rFonts w:ascii="Times New Roman" w:eastAsia="Times New Roman" w:hAnsi="Times New Roman" w:cs="Times New Roman"/>
          <w:sz w:val="24"/>
          <w:szCs w:val="24"/>
        </w:rPr>
        <w:t xml:space="preserve">; </w:t>
      </w:r>
      <w:r w:rsidRPr="00354C20">
        <w:rPr>
          <w:rFonts w:ascii="Times New Roman" w:eastAsia="Times New Roman" w:hAnsi="Times New Roman" w:cs="Times New Roman"/>
          <w:b/>
          <w:bCs/>
          <w:sz w:val="24"/>
          <w:szCs w:val="24"/>
        </w:rPr>
        <w:t>indicare, se del caso, il minore importo per il quale non rilevano eventuali clausole abusive</w:t>
      </w:r>
      <w:r w:rsidR="001F7A3A" w:rsidRPr="00354C20">
        <w:rPr>
          <w:rFonts w:ascii="Times New Roman" w:eastAsia="Times New Roman" w:hAnsi="Times New Roman" w:cs="Times New Roman"/>
          <w:sz w:val="24"/>
          <w:szCs w:val="24"/>
        </w:rPr>
        <w:t>.</w:t>
      </w:r>
    </w:p>
    <w:p w14:paraId="1C3E8FC2" w14:textId="77777777" w:rsidR="00354C20" w:rsidRPr="00354C20" w:rsidRDefault="00354C20" w:rsidP="00354C20">
      <w:pPr>
        <w:pStyle w:val="Paragrafoelenco"/>
        <w:spacing w:line="360" w:lineRule="auto"/>
        <w:jc w:val="both"/>
        <w:rPr>
          <w:rFonts w:ascii="Times New Roman" w:eastAsia="Times New Roman" w:hAnsi="Times New Roman" w:cs="Times New Roman"/>
          <w:sz w:val="24"/>
          <w:szCs w:val="24"/>
        </w:rPr>
      </w:pPr>
    </w:p>
    <w:p w14:paraId="6224B8BB" w14:textId="71455A6A" w:rsidR="00556B57" w:rsidRPr="00463A73" w:rsidRDefault="00556B57" w:rsidP="00354C20">
      <w:pPr>
        <w:jc w:val="both"/>
        <w:rPr>
          <w:rFonts w:ascii="Times New Roman" w:eastAsia="Times New Roman" w:hAnsi="Times New Roman" w:cs="Times New Roman"/>
          <w:b/>
          <w:bCs/>
          <w:sz w:val="24"/>
          <w:szCs w:val="24"/>
        </w:rPr>
      </w:pPr>
      <w:r w:rsidRPr="00463A73">
        <w:rPr>
          <w:rFonts w:ascii="Times New Roman" w:eastAsia="Times New Roman" w:hAnsi="Times New Roman" w:cs="Times New Roman"/>
          <w:b/>
          <w:bCs/>
          <w:sz w:val="24"/>
          <w:szCs w:val="24"/>
        </w:rPr>
        <w:t xml:space="preserve">I creditori procedenti sono invitati a </w:t>
      </w:r>
      <w:r w:rsidR="00DD6902">
        <w:rPr>
          <w:rFonts w:ascii="Times New Roman" w:eastAsia="Times New Roman" w:hAnsi="Times New Roman" w:cs="Times New Roman"/>
          <w:b/>
          <w:bCs/>
          <w:sz w:val="24"/>
          <w:szCs w:val="24"/>
        </w:rPr>
        <w:t>fornire</w:t>
      </w:r>
      <w:r w:rsidR="00206A03" w:rsidRPr="00463A73">
        <w:rPr>
          <w:rFonts w:ascii="Times New Roman" w:eastAsia="Times New Roman" w:hAnsi="Times New Roman" w:cs="Times New Roman"/>
          <w:b/>
          <w:bCs/>
          <w:sz w:val="24"/>
          <w:szCs w:val="24"/>
        </w:rPr>
        <w:t xml:space="preserve"> </w:t>
      </w:r>
      <w:r w:rsidR="00DD6902">
        <w:rPr>
          <w:rFonts w:ascii="Times New Roman" w:eastAsia="Times New Roman" w:hAnsi="Times New Roman" w:cs="Times New Roman"/>
          <w:b/>
          <w:bCs/>
          <w:sz w:val="24"/>
          <w:szCs w:val="24"/>
        </w:rPr>
        <w:t>le indicazioni di cui sopra entro</w:t>
      </w:r>
      <w:r w:rsidR="00206A03" w:rsidRPr="00463A73">
        <w:rPr>
          <w:rFonts w:ascii="Times New Roman" w:eastAsia="Times New Roman" w:hAnsi="Times New Roman" w:cs="Times New Roman"/>
          <w:b/>
          <w:bCs/>
          <w:sz w:val="24"/>
          <w:szCs w:val="24"/>
        </w:rPr>
        <w:t xml:space="preserve"> </w:t>
      </w:r>
      <w:r w:rsidR="00DD6902">
        <w:rPr>
          <w:rFonts w:ascii="Times New Roman" w:eastAsia="Times New Roman" w:hAnsi="Times New Roman" w:cs="Times New Roman"/>
          <w:b/>
          <w:bCs/>
          <w:sz w:val="24"/>
          <w:szCs w:val="24"/>
        </w:rPr>
        <w:t>il termine per il deposito del</w:t>
      </w:r>
      <w:r w:rsidR="00206A03" w:rsidRPr="00463A73">
        <w:rPr>
          <w:rFonts w:ascii="Times New Roman" w:eastAsia="Times New Roman" w:hAnsi="Times New Roman" w:cs="Times New Roman"/>
          <w:b/>
          <w:bCs/>
          <w:sz w:val="24"/>
          <w:szCs w:val="24"/>
        </w:rPr>
        <w:t>l’istanza di vendita</w:t>
      </w:r>
      <w:r w:rsidR="00AA60A5" w:rsidRPr="00463A73">
        <w:rPr>
          <w:rFonts w:ascii="Times New Roman" w:eastAsia="Times New Roman" w:hAnsi="Times New Roman" w:cs="Times New Roman"/>
          <w:b/>
          <w:bCs/>
          <w:sz w:val="24"/>
          <w:szCs w:val="24"/>
        </w:rPr>
        <w:t>, mentre i creditori intervenuti sono invitati a farlo con lo stesso atto di intervento.</w:t>
      </w:r>
    </w:p>
    <w:p w14:paraId="3E078F60" w14:textId="77777777" w:rsidR="00354C20" w:rsidRDefault="00354C20" w:rsidP="000F1072">
      <w:pPr>
        <w:jc w:val="both"/>
        <w:rPr>
          <w:rFonts w:ascii="Times New Roman" w:eastAsia="Times New Roman" w:hAnsi="Times New Roman" w:cs="Times New Roman"/>
          <w:sz w:val="24"/>
          <w:szCs w:val="24"/>
        </w:rPr>
      </w:pPr>
    </w:p>
    <w:p w14:paraId="5CE39580" w14:textId="271DD1D5" w:rsidR="009B1D58" w:rsidRPr="001F7A3A" w:rsidRDefault="009B1D58" w:rsidP="000F1072">
      <w:pPr>
        <w:jc w:val="both"/>
        <w:rPr>
          <w:rFonts w:ascii="Times New Roman" w:eastAsia="Times New Roman" w:hAnsi="Times New Roman" w:cs="Times New Roman"/>
          <w:sz w:val="24"/>
          <w:szCs w:val="24"/>
        </w:rPr>
      </w:pPr>
      <w:r w:rsidRPr="00164093">
        <w:rPr>
          <w:rFonts w:ascii="Times New Roman" w:eastAsia="Times New Roman" w:hAnsi="Times New Roman" w:cs="Times New Roman"/>
          <w:sz w:val="24"/>
          <w:szCs w:val="24"/>
        </w:rPr>
        <w:t>I Custodi Giudiziari sono invitati a relazionare sinteticamente sul</w:t>
      </w:r>
      <w:r w:rsidR="00814495">
        <w:rPr>
          <w:rFonts w:ascii="Times New Roman" w:eastAsia="Times New Roman" w:hAnsi="Times New Roman" w:cs="Times New Roman"/>
          <w:sz w:val="24"/>
          <w:szCs w:val="24"/>
        </w:rPr>
        <w:t>l’adempimento o meno alle informazioni richieste</w:t>
      </w:r>
      <w:r w:rsidRPr="00164093">
        <w:rPr>
          <w:rFonts w:ascii="Times New Roman" w:eastAsia="Times New Roman" w:hAnsi="Times New Roman" w:cs="Times New Roman"/>
          <w:sz w:val="24"/>
          <w:szCs w:val="24"/>
        </w:rPr>
        <w:t xml:space="preserve"> </w:t>
      </w:r>
      <w:r w:rsidR="002115E1" w:rsidRPr="00164093">
        <w:rPr>
          <w:rFonts w:ascii="Times New Roman" w:eastAsia="Times New Roman" w:hAnsi="Times New Roman" w:cs="Times New Roman"/>
          <w:sz w:val="24"/>
          <w:szCs w:val="24"/>
        </w:rPr>
        <w:t xml:space="preserve">in </w:t>
      </w:r>
      <w:r w:rsidR="005253CE" w:rsidRPr="00164093">
        <w:rPr>
          <w:rFonts w:ascii="Times New Roman" w:eastAsia="Times New Roman" w:hAnsi="Times New Roman" w:cs="Times New Roman"/>
          <w:sz w:val="24"/>
          <w:szCs w:val="24"/>
        </w:rPr>
        <w:t>occasione</w:t>
      </w:r>
      <w:r w:rsidR="002115E1" w:rsidRPr="00164093">
        <w:rPr>
          <w:rFonts w:ascii="Times New Roman" w:eastAsia="Times New Roman" w:hAnsi="Times New Roman" w:cs="Times New Roman"/>
          <w:sz w:val="24"/>
          <w:szCs w:val="24"/>
        </w:rPr>
        <w:t xml:space="preserve"> del deposito della “checklist”</w:t>
      </w:r>
      <w:r w:rsidR="005253CE" w:rsidRPr="00164093">
        <w:rPr>
          <w:rFonts w:ascii="Times New Roman" w:eastAsia="Times New Roman" w:hAnsi="Times New Roman" w:cs="Times New Roman"/>
          <w:sz w:val="24"/>
          <w:szCs w:val="24"/>
        </w:rPr>
        <w:t>.</w:t>
      </w:r>
    </w:p>
    <w:p w14:paraId="682B1876" w14:textId="77777777" w:rsidR="00A8309A" w:rsidRDefault="00A8309A" w:rsidP="005253CE">
      <w:pPr>
        <w:jc w:val="both"/>
        <w:rPr>
          <w:rFonts w:ascii="Times New Roman" w:eastAsia="Times New Roman" w:hAnsi="Times New Roman" w:cs="Times New Roman"/>
          <w:b/>
          <w:bCs/>
          <w:sz w:val="24"/>
          <w:szCs w:val="24"/>
        </w:rPr>
      </w:pPr>
    </w:p>
    <w:p w14:paraId="00F18670" w14:textId="3980A77C" w:rsidR="00A8309A" w:rsidRPr="005F1CA0" w:rsidRDefault="00A8309A" w:rsidP="005253CE">
      <w:pPr>
        <w:jc w:val="both"/>
        <w:rPr>
          <w:rFonts w:ascii="Times New Roman" w:eastAsia="Times New Roman" w:hAnsi="Times New Roman" w:cs="Times New Roman"/>
          <w:b/>
          <w:bCs/>
          <w:sz w:val="24"/>
          <w:szCs w:val="24"/>
          <w:u w:val="single"/>
        </w:rPr>
      </w:pPr>
      <w:r w:rsidRPr="005F1CA0">
        <w:rPr>
          <w:rFonts w:ascii="Times New Roman" w:eastAsia="Times New Roman" w:hAnsi="Times New Roman" w:cs="Times New Roman"/>
          <w:b/>
          <w:bCs/>
          <w:sz w:val="24"/>
          <w:szCs w:val="24"/>
          <w:u w:val="single"/>
        </w:rPr>
        <w:lastRenderedPageBreak/>
        <w:t xml:space="preserve">2. Immobili </w:t>
      </w:r>
      <w:r w:rsidRPr="00A8309A">
        <w:rPr>
          <w:rFonts w:ascii="Times New Roman" w:eastAsia="Times New Roman" w:hAnsi="Times New Roman" w:cs="Times New Roman"/>
          <w:b/>
          <w:bCs/>
          <w:sz w:val="24"/>
          <w:szCs w:val="24"/>
          <w:u w:val="single"/>
        </w:rPr>
        <w:t>realizzati in regime di edilizia residenziale pubblica convenzionata e agevolata</w:t>
      </w:r>
    </w:p>
    <w:p w14:paraId="2D74C1AB" w14:textId="77777777" w:rsidR="00354C20" w:rsidRDefault="00354C20" w:rsidP="00A8309A">
      <w:pPr>
        <w:jc w:val="both"/>
        <w:rPr>
          <w:rFonts w:ascii="Times New Roman" w:eastAsia="Times New Roman" w:hAnsi="Times New Roman" w:cs="Times New Roman"/>
          <w:sz w:val="24"/>
          <w:szCs w:val="24"/>
        </w:rPr>
      </w:pPr>
    </w:p>
    <w:p w14:paraId="52A34B71" w14:textId="116D697E" w:rsidR="00A8309A" w:rsidRPr="00A8309A" w:rsidRDefault="00AA05DB" w:rsidP="00A8309A">
      <w:pPr>
        <w:jc w:val="both"/>
        <w:rPr>
          <w:rFonts w:ascii="Times New Roman" w:eastAsia="Times New Roman" w:hAnsi="Times New Roman" w:cs="Times New Roman"/>
          <w:b/>
          <w:bCs/>
          <w:sz w:val="24"/>
          <w:szCs w:val="24"/>
          <w:u w:val="single"/>
        </w:rPr>
      </w:pPr>
      <w:r w:rsidRPr="005F1CA0">
        <w:rPr>
          <w:rFonts w:ascii="Times New Roman" w:eastAsia="Times New Roman" w:hAnsi="Times New Roman" w:cs="Times New Roman"/>
          <w:sz w:val="24"/>
          <w:szCs w:val="24"/>
        </w:rPr>
        <w:t xml:space="preserve">Si </w:t>
      </w:r>
      <w:r w:rsidR="005F1CA0" w:rsidRPr="005F1CA0">
        <w:rPr>
          <w:rFonts w:ascii="Times New Roman" w:eastAsia="Times New Roman" w:hAnsi="Times New Roman" w:cs="Times New Roman"/>
          <w:sz w:val="24"/>
          <w:szCs w:val="24"/>
        </w:rPr>
        <w:t>fa presente</w:t>
      </w:r>
      <w:r w:rsidRPr="005F1CA0">
        <w:rPr>
          <w:rFonts w:ascii="Times New Roman" w:eastAsia="Times New Roman" w:hAnsi="Times New Roman" w:cs="Times New Roman"/>
          <w:sz w:val="24"/>
          <w:szCs w:val="24"/>
        </w:rPr>
        <w:t xml:space="preserve"> </w:t>
      </w:r>
      <w:r w:rsidRPr="00354C20">
        <w:rPr>
          <w:rFonts w:ascii="Times New Roman" w:eastAsia="Times New Roman" w:hAnsi="Times New Roman" w:cs="Times New Roman"/>
          <w:sz w:val="24"/>
          <w:szCs w:val="24"/>
        </w:rPr>
        <w:t>che</w:t>
      </w:r>
      <w:r w:rsidR="00354C20">
        <w:rPr>
          <w:rFonts w:ascii="Times New Roman" w:eastAsia="Times New Roman" w:hAnsi="Times New Roman" w:cs="Times New Roman"/>
          <w:sz w:val="24"/>
          <w:szCs w:val="24"/>
        </w:rPr>
        <w:t xml:space="preserve"> </w:t>
      </w:r>
      <w:r w:rsidRPr="00354C20">
        <w:rPr>
          <w:rFonts w:ascii="Times New Roman" w:eastAsia="Times New Roman" w:hAnsi="Times New Roman" w:cs="Times New Roman"/>
          <w:b/>
          <w:bCs/>
          <w:sz w:val="24"/>
          <w:szCs w:val="24"/>
        </w:rPr>
        <w:t>ai sensi del</w:t>
      </w:r>
      <w:r w:rsidR="00A8309A" w:rsidRPr="00354C20">
        <w:rPr>
          <w:rFonts w:ascii="Times New Roman" w:eastAsia="Times New Roman" w:hAnsi="Times New Roman" w:cs="Times New Roman"/>
          <w:b/>
          <w:bCs/>
          <w:sz w:val="24"/>
          <w:szCs w:val="24"/>
        </w:rPr>
        <w:t>l’art. 1, commi 376-37</w:t>
      </w:r>
      <w:r w:rsidR="005F1CA0" w:rsidRPr="00354C20">
        <w:rPr>
          <w:rFonts w:ascii="Times New Roman" w:eastAsia="Times New Roman" w:hAnsi="Times New Roman" w:cs="Times New Roman"/>
          <w:b/>
          <w:bCs/>
          <w:sz w:val="24"/>
          <w:szCs w:val="24"/>
        </w:rPr>
        <w:t>9</w:t>
      </w:r>
      <w:r w:rsidR="00A8309A" w:rsidRPr="00354C20">
        <w:rPr>
          <w:rFonts w:ascii="Times New Roman" w:eastAsia="Times New Roman" w:hAnsi="Times New Roman" w:cs="Times New Roman"/>
          <w:b/>
          <w:bCs/>
          <w:sz w:val="24"/>
          <w:szCs w:val="24"/>
        </w:rPr>
        <w:t>, legge 30 dicembre 2020 n. 178:</w:t>
      </w:r>
      <w:r w:rsidR="00A8309A" w:rsidRPr="00A8309A">
        <w:rPr>
          <w:rFonts w:ascii="Times New Roman" w:eastAsia="Times New Roman" w:hAnsi="Times New Roman" w:cs="Times New Roman"/>
          <w:b/>
          <w:bCs/>
          <w:sz w:val="24"/>
          <w:szCs w:val="24"/>
          <w:u w:val="single"/>
        </w:rPr>
        <w:t xml:space="preserve"> </w:t>
      </w:r>
    </w:p>
    <w:p w14:paraId="5D92215D" w14:textId="77777777" w:rsidR="00A8309A" w:rsidRPr="00A8309A" w:rsidRDefault="00A8309A" w:rsidP="00A8309A">
      <w:pPr>
        <w:jc w:val="both"/>
        <w:rPr>
          <w:rFonts w:ascii="Times New Roman" w:eastAsia="Times New Roman" w:hAnsi="Times New Roman" w:cs="Times New Roman"/>
          <w:sz w:val="24"/>
          <w:szCs w:val="24"/>
        </w:rPr>
      </w:pPr>
      <w:r w:rsidRPr="00A8309A">
        <w:rPr>
          <w:rFonts w:ascii="Times New Roman" w:eastAsia="Times New Roman" w:hAnsi="Times New Roman" w:cs="Times New Roman"/>
          <w:i/>
          <w:iCs/>
          <w:sz w:val="24"/>
          <w:szCs w:val="24"/>
        </w:rPr>
        <w:t xml:space="preserve">“376. Le procedure esecutive aventi a </w:t>
      </w:r>
      <w:r w:rsidRPr="00A8309A">
        <w:rPr>
          <w:rFonts w:ascii="Times New Roman" w:eastAsia="Times New Roman" w:hAnsi="Times New Roman" w:cs="Times New Roman"/>
          <w:b/>
          <w:bCs/>
          <w:i/>
          <w:iCs/>
          <w:sz w:val="24"/>
          <w:szCs w:val="24"/>
        </w:rPr>
        <w:t>oggetto immobili realizzati in regime di edilizia residenziale pubblica convenzionata e agevolata</w:t>
      </w:r>
      <w:r w:rsidRPr="00A8309A">
        <w:rPr>
          <w:rFonts w:ascii="Times New Roman" w:eastAsia="Times New Roman" w:hAnsi="Times New Roman" w:cs="Times New Roman"/>
          <w:i/>
          <w:iCs/>
          <w:sz w:val="24"/>
          <w:szCs w:val="24"/>
        </w:rPr>
        <w:t xml:space="preserve"> che sono stati finanziati in tutto o in parte con risorse pubbliche </w:t>
      </w:r>
      <w:r w:rsidRPr="00A8309A">
        <w:rPr>
          <w:rFonts w:ascii="Times New Roman" w:eastAsia="Times New Roman" w:hAnsi="Times New Roman" w:cs="Times New Roman"/>
          <w:b/>
          <w:bCs/>
          <w:i/>
          <w:iCs/>
          <w:sz w:val="24"/>
          <w:szCs w:val="24"/>
        </w:rPr>
        <w:t>sono nulle se il creditore procedente non ne ha dato previa formale comunicazione, tramite posta elettronica certificata, agli uffici competenti del comune dove sono ubicati gli immobili e all'ente erogatore del finanziamento territorialmente competente</w:t>
      </w:r>
      <w:r w:rsidRPr="00A8309A">
        <w:rPr>
          <w:rFonts w:ascii="Times New Roman" w:eastAsia="Times New Roman" w:hAnsi="Times New Roman" w:cs="Times New Roman"/>
          <w:i/>
          <w:iCs/>
          <w:sz w:val="24"/>
          <w:szCs w:val="24"/>
        </w:rPr>
        <w:t xml:space="preserve">. La nullità è </w:t>
      </w:r>
      <w:r w:rsidRPr="00A8309A">
        <w:rPr>
          <w:rFonts w:ascii="Times New Roman" w:eastAsia="Times New Roman" w:hAnsi="Times New Roman" w:cs="Times New Roman"/>
          <w:b/>
          <w:bCs/>
          <w:i/>
          <w:iCs/>
          <w:sz w:val="24"/>
          <w:szCs w:val="24"/>
        </w:rPr>
        <w:t>rilevabile d'ufficio</w:t>
      </w:r>
      <w:r w:rsidRPr="00A8309A">
        <w:rPr>
          <w:rFonts w:ascii="Times New Roman" w:eastAsia="Times New Roman" w:hAnsi="Times New Roman" w:cs="Times New Roman"/>
          <w:i/>
          <w:iCs/>
          <w:sz w:val="24"/>
          <w:szCs w:val="24"/>
        </w:rPr>
        <w:t xml:space="preserve">, su iniziativa delle parti, degli organi vigilanti avvisati ovvero dell'inquilino detentore, </w:t>
      </w:r>
      <w:proofErr w:type="spellStart"/>
      <w:r w:rsidRPr="00A8309A">
        <w:rPr>
          <w:rFonts w:ascii="Times New Roman" w:eastAsia="Times New Roman" w:hAnsi="Times New Roman" w:cs="Times New Roman"/>
          <w:i/>
          <w:iCs/>
          <w:sz w:val="24"/>
          <w:szCs w:val="24"/>
        </w:rPr>
        <w:t>prenotatario</w:t>
      </w:r>
      <w:proofErr w:type="spellEnd"/>
      <w:r w:rsidRPr="00A8309A">
        <w:rPr>
          <w:rFonts w:ascii="Times New Roman" w:eastAsia="Times New Roman" w:hAnsi="Times New Roman" w:cs="Times New Roman"/>
          <w:i/>
          <w:iCs/>
          <w:sz w:val="24"/>
          <w:szCs w:val="24"/>
        </w:rPr>
        <w:t xml:space="preserve"> o socio della società soggetta alla procedura esecutiva. </w:t>
      </w:r>
    </w:p>
    <w:p w14:paraId="25264A73" w14:textId="00078F7A" w:rsidR="005F1CA0" w:rsidRPr="00814495" w:rsidRDefault="00A8309A" w:rsidP="00A8309A">
      <w:pPr>
        <w:jc w:val="both"/>
        <w:rPr>
          <w:rFonts w:ascii="Times New Roman" w:eastAsia="Times New Roman" w:hAnsi="Times New Roman" w:cs="Times New Roman"/>
          <w:sz w:val="24"/>
          <w:szCs w:val="24"/>
        </w:rPr>
      </w:pPr>
      <w:r w:rsidRPr="00A8309A">
        <w:rPr>
          <w:rFonts w:ascii="Times New Roman" w:eastAsia="Times New Roman" w:hAnsi="Times New Roman" w:cs="Times New Roman"/>
          <w:i/>
          <w:iCs/>
          <w:sz w:val="24"/>
          <w:szCs w:val="24"/>
        </w:rPr>
        <w:t xml:space="preserve">377. Nel caso in cui l'esecuzione sia già iniziata, il giudice dell'esecuzione procede alla </w:t>
      </w:r>
      <w:r w:rsidRPr="00A8309A">
        <w:rPr>
          <w:rFonts w:ascii="Times New Roman" w:eastAsia="Times New Roman" w:hAnsi="Times New Roman" w:cs="Times New Roman"/>
          <w:b/>
          <w:bCs/>
          <w:i/>
          <w:iCs/>
          <w:sz w:val="24"/>
          <w:szCs w:val="24"/>
        </w:rPr>
        <w:t>sospensione del procedimento esecutivo</w:t>
      </w:r>
      <w:r w:rsidRPr="00A8309A">
        <w:rPr>
          <w:rFonts w:ascii="Times New Roman" w:eastAsia="Times New Roman" w:hAnsi="Times New Roman" w:cs="Times New Roman"/>
          <w:i/>
          <w:iCs/>
          <w:sz w:val="24"/>
          <w:szCs w:val="24"/>
        </w:rPr>
        <w:t xml:space="preserve"> nelle modalità di cui al comma 376 per consentire ai soggetti di cui al citato comma 376 di intervenire nella relativa procedura al fine di tutelare la finalità sociale degli immobili e sospendere la vendita degli stessi.</w:t>
      </w:r>
      <w:r w:rsidR="00814495">
        <w:rPr>
          <w:rFonts w:ascii="Times New Roman" w:eastAsia="Times New Roman" w:hAnsi="Times New Roman" w:cs="Times New Roman"/>
          <w:sz w:val="24"/>
          <w:szCs w:val="24"/>
        </w:rPr>
        <w:t>”</w:t>
      </w:r>
    </w:p>
    <w:p w14:paraId="103EECED" w14:textId="2BC3667B" w:rsidR="00814495" w:rsidRDefault="00814495" w:rsidP="00354C20">
      <w:pP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ricorda che il successivo </w:t>
      </w:r>
      <w:r w:rsidRPr="00E82EF6">
        <w:rPr>
          <w:rFonts w:ascii="Times New Roman" w:eastAsia="Times New Roman" w:hAnsi="Times New Roman" w:cs="Times New Roman"/>
          <w:b/>
          <w:bCs/>
          <w:sz w:val="24"/>
          <w:szCs w:val="24"/>
        </w:rPr>
        <w:t>art.</w:t>
      </w:r>
      <w:r w:rsidRPr="00E5364A">
        <w:rPr>
          <w:rFonts w:ascii="Times New Roman" w:eastAsia="Times New Roman" w:hAnsi="Times New Roman" w:cs="Times New Roman"/>
          <w:b/>
          <w:bCs/>
          <w:sz w:val="24"/>
          <w:szCs w:val="24"/>
        </w:rPr>
        <w:t xml:space="preserve"> 1, comma 378</w:t>
      </w:r>
      <w:r w:rsidRPr="00814495">
        <w:rPr>
          <w:rFonts w:ascii="Times New Roman" w:eastAsia="Times New Roman" w:hAnsi="Times New Roman" w:cs="Times New Roman"/>
          <w:sz w:val="24"/>
          <w:szCs w:val="24"/>
        </w:rPr>
        <w:t>, relativo alla verifica della</w:t>
      </w:r>
      <w:r w:rsidRPr="00814495">
        <w:rPr>
          <w:rFonts w:ascii="Times New Roman" w:eastAsia="Times New Roman" w:hAnsi="Times New Roman" w:cs="Times New Roman"/>
          <w:b/>
          <w:bCs/>
          <w:sz w:val="24"/>
          <w:szCs w:val="24"/>
        </w:rPr>
        <w:t xml:space="preserve"> </w:t>
      </w:r>
      <w:r w:rsidRPr="00814495">
        <w:rPr>
          <w:rFonts w:ascii="Times New Roman" w:eastAsia="Times New Roman" w:hAnsi="Times New Roman" w:cs="Times New Roman"/>
          <w:sz w:val="24"/>
          <w:szCs w:val="24"/>
        </w:rPr>
        <w:t xml:space="preserve">rispondenza del contratto di mutuo ai criteri di cui all'articolo 44 della legge 5 agosto 1978, n. 457, e </w:t>
      </w:r>
      <w:r w:rsidR="00354C20">
        <w:rPr>
          <w:rFonts w:ascii="Times New Roman" w:eastAsia="Times New Roman" w:hAnsi="Times New Roman" w:cs="Times New Roman"/>
          <w:sz w:val="24"/>
          <w:szCs w:val="24"/>
        </w:rPr>
        <w:t>al</w:t>
      </w:r>
      <w:r w:rsidRPr="00814495">
        <w:rPr>
          <w:rFonts w:ascii="Times New Roman" w:eastAsia="Times New Roman" w:hAnsi="Times New Roman" w:cs="Times New Roman"/>
          <w:sz w:val="24"/>
          <w:szCs w:val="24"/>
        </w:rPr>
        <w:t>l'inserimento dell'ente creditore nell'elenco delle banche convenzionate presso il Ministero delle infrastrutture e dei trasporti</w:t>
      </w:r>
      <w:r>
        <w:rPr>
          <w:rFonts w:ascii="Times New Roman" w:eastAsia="Times New Roman" w:hAnsi="Times New Roman" w:cs="Times New Roman"/>
          <w:sz w:val="24"/>
          <w:szCs w:val="24"/>
        </w:rPr>
        <w:t xml:space="preserve">, è stato dichiarato </w:t>
      </w:r>
      <w:r w:rsidRPr="00FC2F3E">
        <w:rPr>
          <w:rFonts w:ascii="Times New Roman" w:eastAsia="Times New Roman" w:hAnsi="Times New Roman" w:cs="Times New Roman"/>
          <w:b/>
          <w:bCs/>
          <w:sz w:val="24"/>
          <w:szCs w:val="24"/>
        </w:rPr>
        <w:t>costituzionalmente illegittimo</w:t>
      </w:r>
      <w:r>
        <w:rPr>
          <w:rFonts w:ascii="Times New Roman" w:eastAsia="Times New Roman" w:hAnsi="Times New Roman" w:cs="Times New Roman"/>
          <w:sz w:val="24"/>
          <w:szCs w:val="24"/>
        </w:rPr>
        <w:t xml:space="preserve"> dall</w:t>
      </w:r>
      <w:r w:rsidRPr="00E5364A">
        <w:rPr>
          <w:rFonts w:ascii="Times New Roman" w:eastAsia="Times New Roman" w:hAnsi="Times New Roman" w:cs="Times New Roman"/>
          <w:sz w:val="24"/>
          <w:szCs w:val="24"/>
        </w:rPr>
        <w:t xml:space="preserve">a </w:t>
      </w:r>
      <w:proofErr w:type="gramStart"/>
      <w:r w:rsidRPr="00E5364A">
        <w:rPr>
          <w:rFonts w:ascii="Times New Roman" w:eastAsia="Times New Roman" w:hAnsi="Times New Roman" w:cs="Times New Roman"/>
          <w:sz w:val="24"/>
          <w:szCs w:val="24"/>
        </w:rPr>
        <w:t>Corte Costituzionale</w:t>
      </w:r>
      <w:proofErr w:type="gramEnd"/>
      <w:r w:rsidRPr="00E5364A">
        <w:rPr>
          <w:rFonts w:ascii="Times New Roman" w:eastAsia="Times New Roman" w:hAnsi="Times New Roman" w:cs="Times New Roman"/>
          <w:sz w:val="24"/>
          <w:szCs w:val="24"/>
        </w:rPr>
        <w:t xml:space="preserve"> con sentenza 14 novembre - 20 dicembre 2024, n. 211</w:t>
      </w:r>
      <w:r>
        <w:rPr>
          <w:rFonts w:ascii="Times New Roman" w:eastAsia="Times New Roman" w:hAnsi="Times New Roman" w:cs="Times New Roman"/>
          <w:sz w:val="24"/>
          <w:szCs w:val="24"/>
        </w:rPr>
        <w:t xml:space="preserve">. </w:t>
      </w:r>
    </w:p>
    <w:p w14:paraId="07059533" w14:textId="518A26B1" w:rsidR="00814495" w:rsidRDefault="00814495" w:rsidP="0081449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Pertanto, </w:t>
      </w:r>
      <w:r w:rsidRPr="00354C20">
        <w:rPr>
          <w:rFonts w:ascii="Times New Roman" w:eastAsia="Times New Roman" w:hAnsi="Times New Roman" w:cs="Times New Roman"/>
          <w:b/>
          <w:bCs/>
          <w:sz w:val="24"/>
          <w:szCs w:val="24"/>
        </w:rPr>
        <w:t>tale comma non troverà più applicazione</w:t>
      </w:r>
      <w:r>
        <w:rPr>
          <w:rFonts w:ascii="Times New Roman" w:eastAsia="Times New Roman" w:hAnsi="Times New Roman" w:cs="Times New Roman"/>
          <w:sz w:val="24"/>
          <w:szCs w:val="24"/>
        </w:rPr>
        <w:t>.</w:t>
      </w:r>
    </w:p>
    <w:p w14:paraId="58D7AD51" w14:textId="77777777" w:rsidR="00814495" w:rsidRDefault="00814495" w:rsidP="00A8309A">
      <w:pPr>
        <w:jc w:val="both"/>
        <w:rPr>
          <w:rFonts w:ascii="Times New Roman" w:eastAsia="Times New Roman" w:hAnsi="Times New Roman" w:cs="Times New Roman"/>
          <w:sz w:val="24"/>
          <w:szCs w:val="24"/>
        </w:rPr>
      </w:pPr>
    </w:p>
    <w:p w14:paraId="2B0B6145" w14:textId="72861515" w:rsidR="00326D8B" w:rsidRDefault="00814495" w:rsidP="00A8309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riguardo alle disposizioni ancora in vigore</w:t>
      </w:r>
      <w:r w:rsidR="00326D8B">
        <w:rPr>
          <w:rFonts w:ascii="Times New Roman" w:eastAsia="Times New Roman" w:hAnsi="Times New Roman" w:cs="Times New Roman"/>
          <w:sz w:val="24"/>
          <w:szCs w:val="24"/>
        </w:rPr>
        <w:t>,</w:t>
      </w:r>
      <w:r w:rsidR="00066790">
        <w:rPr>
          <w:rFonts w:ascii="Times New Roman" w:eastAsia="Times New Roman" w:hAnsi="Times New Roman" w:cs="Times New Roman"/>
          <w:sz w:val="24"/>
          <w:szCs w:val="24"/>
        </w:rPr>
        <w:t xml:space="preserve"> qualora emerga la sussistenza di un vincolo relativo alla realizzazione del bene </w:t>
      </w:r>
      <w:r w:rsidR="0016048A">
        <w:rPr>
          <w:rFonts w:ascii="Times New Roman" w:eastAsia="Times New Roman" w:hAnsi="Times New Roman" w:cs="Times New Roman"/>
          <w:sz w:val="24"/>
          <w:szCs w:val="24"/>
        </w:rPr>
        <w:t>pignorato</w:t>
      </w:r>
      <w:r w:rsidR="00066790" w:rsidRPr="00066790">
        <w:rPr>
          <w:rFonts w:ascii="Times New Roman" w:eastAsia="Times New Roman" w:hAnsi="Times New Roman" w:cs="Times New Roman"/>
          <w:sz w:val="24"/>
          <w:szCs w:val="24"/>
        </w:rPr>
        <w:t xml:space="preserve"> in regime di edilizia residenziale pubblica convenzionata </w:t>
      </w:r>
      <w:r w:rsidR="00E0255C">
        <w:rPr>
          <w:rFonts w:ascii="Times New Roman" w:eastAsia="Times New Roman" w:hAnsi="Times New Roman" w:cs="Times New Roman"/>
          <w:sz w:val="24"/>
          <w:szCs w:val="24"/>
        </w:rPr>
        <w:t>o</w:t>
      </w:r>
      <w:r w:rsidR="00066790" w:rsidRPr="00066790">
        <w:rPr>
          <w:rFonts w:ascii="Times New Roman" w:eastAsia="Times New Roman" w:hAnsi="Times New Roman" w:cs="Times New Roman"/>
          <w:sz w:val="24"/>
          <w:szCs w:val="24"/>
        </w:rPr>
        <w:t xml:space="preserve"> agevolata</w:t>
      </w:r>
      <w:r w:rsidR="0016048A">
        <w:rPr>
          <w:rFonts w:ascii="Times New Roman" w:eastAsia="Times New Roman" w:hAnsi="Times New Roman" w:cs="Times New Roman"/>
          <w:sz w:val="24"/>
          <w:szCs w:val="24"/>
        </w:rPr>
        <w:t xml:space="preserve">, </w:t>
      </w:r>
      <w:r w:rsidR="0016048A" w:rsidRPr="008E3631">
        <w:rPr>
          <w:rFonts w:ascii="Times New Roman" w:eastAsia="Times New Roman" w:hAnsi="Times New Roman" w:cs="Times New Roman"/>
          <w:b/>
          <w:bCs/>
          <w:sz w:val="24"/>
          <w:szCs w:val="24"/>
        </w:rPr>
        <w:t xml:space="preserve">la mancanza delle </w:t>
      </w:r>
      <w:r w:rsidR="008E3631">
        <w:rPr>
          <w:rFonts w:ascii="Times New Roman" w:eastAsia="Times New Roman" w:hAnsi="Times New Roman" w:cs="Times New Roman"/>
          <w:b/>
          <w:bCs/>
          <w:sz w:val="24"/>
          <w:szCs w:val="24"/>
        </w:rPr>
        <w:t>prescritte</w:t>
      </w:r>
      <w:r w:rsidR="0016048A" w:rsidRPr="008E3631">
        <w:rPr>
          <w:rFonts w:ascii="Times New Roman" w:eastAsia="Times New Roman" w:hAnsi="Times New Roman" w:cs="Times New Roman"/>
          <w:b/>
          <w:bCs/>
          <w:sz w:val="24"/>
          <w:szCs w:val="24"/>
        </w:rPr>
        <w:t xml:space="preserve"> comunicazioni </w:t>
      </w:r>
      <w:r w:rsidR="0037301F">
        <w:rPr>
          <w:rFonts w:ascii="Times New Roman" w:eastAsia="Times New Roman" w:hAnsi="Times New Roman" w:cs="Times New Roman"/>
          <w:b/>
          <w:bCs/>
          <w:sz w:val="24"/>
          <w:szCs w:val="24"/>
        </w:rPr>
        <w:t xml:space="preserve">verrà rilevata d’ufficio e </w:t>
      </w:r>
      <w:r w:rsidR="0016048A" w:rsidRPr="008E3631">
        <w:rPr>
          <w:rFonts w:ascii="Times New Roman" w:eastAsia="Times New Roman" w:hAnsi="Times New Roman" w:cs="Times New Roman"/>
          <w:b/>
          <w:bCs/>
          <w:sz w:val="24"/>
          <w:szCs w:val="24"/>
        </w:rPr>
        <w:t>determinerà</w:t>
      </w:r>
      <w:r w:rsidR="0037301F">
        <w:rPr>
          <w:rFonts w:ascii="Times New Roman" w:eastAsia="Times New Roman" w:hAnsi="Times New Roman" w:cs="Times New Roman"/>
          <w:b/>
          <w:bCs/>
          <w:sz w:val="24"/>
          <w:szCs w:val="24"/>
        </w:rPr>
        <w:t>, a pena di nullità,</w:t>
      </w:r>
      <w:r w:rsidR="0016048A" w:rsidRPr="008E3631">
        <w:rPr>
          <w:rFonts w:ascii="Times New Roman" w:eastAsia="Times New Roman" w:hAnsi="Times New Roman" w:cs="Times New Roman"/>
          <w:b/>
          <w:bCs/>
          <w:sz w:val="24"/>
          <w:szCs w:val="24"/>
        </w:rPr>
        <w:t xml:space="preserve"> la sospensione del procedimento esecutivo</w:t>
      </w:r>
      <w:r w:rsidR="0016048A">
        <w:rPr>
          <w:rFonts w:ascii="Times New Roman" w:eastAsia="Times New Roman" w:hAnsi="Times New Roman" w:cs="Times New Roman"/>
          <w:sz w:val="24"/>
          <w:szCs w:val="24"/>
        </w:rPr>
        <w:t xml:space="preserve"> </w:t>
      </w:r>
      <w:r w:rsidR="0016048A" w:rsidRPr="0016048A">
        <w:rPr>
          <w:rFonts w:ascii="Times New Roman" w:eastAsia="Times New Roman" w:hAnsi="Times New Roman" w:cs="Times New Roman"/>
          <w:sz w:val="24"/>
          <w:szCs w:val="24"/>
        </w:rPr>
        <w:t>per consentire ai soggetti di cui al citato comma 376 di intervenire nella relativa procedura</w:t>
      </w:r>
      <w:r w:rsidR="0016048A">
        <w:rPr>
          <w:rFonts w:ascii="Times New Roman" w:eastAsia="Times New Roman" w:hAnsi="Times New Roman" w:cs="Times New Roman"/>
          <w:sz w:val="24"/>
          <w:szCs w:val="24"/>
        </w:rPr>
        <w:t>.</w:t>
      </w:r>
    </w:p>
    <w:p w14:paraId="3A306360" w14:textId="330A96EB" w:rsidR="00E5364A" w:rsidRPr="00E0255C" w:rsidRDefault="000A4E46" w:rsidP="00E5364A">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Al fine di consentire la celere prosecuzione del procedimento, n</w:t>
      </w:r>
      <w:r w:rsidR="0005093F" w:rsidRPr="00E0255C">
        <w:rPr>
          <w:rFonts w:ascii="Times New Roman" w:eastAsia="Times New Roman" w:hAnsi="Times New Roman" w:cs="Times New Roman"/>
          <w:b/>
          <w:bCs/>
          <w:sz w:val="24"/>
          <w:szCs w:val="24"/>
        </w:rPr>
        <w:t xml:space="preserve">e consegue </w:t>
      </w:r>
      <w:r w:rsidR="00814495">
        <w:rPr>
          <w:rFonts w:ascii="Times New Roman" w:eastAsia="Times New Roman" w:hAnsi="Times New Roman" w:cs="Times New Roman"/>
          <w:b/>
          <w:bCs/>
          <w:sz w:val="24"/>
          <w:szCs w:val="24"/>
        </w:rPr>
        <w:t>la necessità di una</w:t>
      </w:r>
      <w:r w:rsidR="00D13DBB" w:rsidRPr="00E0255C">
        <w:rPr>
          <w:rFonts w:ascii="Times New Roman" w:eastAsia="Times New Roman" w:hAnsi="Times New Roman" w:cs="Times New Roman"/>
          <w:b/>
          <w:bCs/>
          <w:sz w:val="24"/>
          <w:szCs w:val="24"/>
        </w:rPr>
        <w:t xml:space="preserve"> previa comunicazione </w:t>
      </w:r>
      <w:r w:rsidR="008459DF" w:rsidRPr="00E0255C">
        <w:rPr>
          <w:rFonts w:ascii="Times New Roman" w:eastAsia="Times New Roman" w:hAnsi="Times New Roman" w:cs="Times New Roman"/>
          <w:b/>
          <w:bCs/>
          <w:sz w:val="24"/>
          <w:szCs w:val="24"/>
        </w:rPr>
        <w:t>tramite posta elettronica certificata, da parte dei creditori procedenti</w:t>
      </w:r>
      <w:r w:rsidR="00814495">
        <w:rPr>
          <w:rFonts w:ascii="Times New Roman" w:eastAsia="Times New Roman" w:hAnsi="Times New Roman" w:cs="Times New Roman"/>
          <w:b/>
          <w:bCs/>
          <w:sz w:val="24"/>
          <w:szCs w:val="24"/>
        </w:rPr>
        <w:t>,</w:t>
      </w:r>
      <w:r w:rsidR="008459DF" w:rsidRPr="00E0255C">
        <w:rPr>
          <w:rFonts w:ascii="Times New Roman" w:eastAsia="Times New Roman" w:hAnsi="Times New Roman" w:cs="Times New Roman"/>
          <w:b/>
          <w:bCs/>
          <w:sz w:val="24"/>
          <w:szCs w:val="24"/>
        </w:rPr>
        <w:t xml:space="preserve"> indirizzata agli uffici competenti del </w:t>
      </w:r>
      <w:r w:rsidR="00E0255C" w:rsidRPr="00E0255C">
        <w:rPr>
          <w:rFonts w:ascii="Times New Roman" w:eastAsia="Times New Roman" w:hAnsi="Times New Roman" w:cs="Times New Roman"/>
          <w:b/>
          <w:bCs/>
          <w:sz w:val="24"/>
          <w:szCs w:val="24"/>
        </w:rPr>
        <w:t>C</w:t>
      </w:r>
      <w:r w:rsidR="008459DF" w:rsidRPr="00E0255C">
        <w:rPr>
          <w:rFonts w:ascii="Times New Roman" w:eastAsia="Times New Roman" w:hAnsi="Times New Roman" w:cs="Times New Roman"/>
          <w:b/>
          <w:bCs/>
          <w:sz w:val="24"/>
          <w:szCs w:val="24"/>
        </w:rPr>
        <w:t>omune ove sono ubicati gli immobili e all'ente erogatore del finanziamento territorialmente competente</w:t>
      </w:r>
      <w:r w:rsidR="0081449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nella maggior parte dei casi corrispondente alla Provincia autonoma di Bolzano)</w:t>
      </w:r>
      <w:r w:rsidR="00567891" w:rsidRPr="00E0255C">
        <w:rPr>
          <w:rFonts w:ascii="Times New Roman" w:eastAsia="Times New Roman" w:hAnsi="Times New Roman" w:cs="Times New Roman"/>
          <w:b/>
          <w:bCs/>
          <w:sz w:val="24"/>
          <w:szCs w:val="24"/>
        </w:rPr>
        <w:t>.</w:t>
      </w:r>
    </w:p>
    <w:p w14:paraId="02B55946" w14:textId="591292C1" w:rsidR="00E5364A" w:rsidRDefault="005F1CA0" w:rsidP="00ED1C90">
      <w:pPr>
        <w:jc w:val="both"/>
        <w:rPr>
          <w:rFonts w:ascii="Times New Roman" w:eastAsia="Times New Roman" w:hAnsi="Times New Roman" w:cs="Times New Roman"/>
          <w:sz w:val="24"/>
          <w:szCs w:val="24"/>
        </w:rPr>
      </w:pPr>
      <w:r w:rsidRPr="001F7A3A">
        <w:rPr>
          <w:rFonts w:ascii="Times New Roman" w:eastAsia="Times New Roman" w:hAnsi="Times New Roman" w:cs="Times New Roman"/>
          <w:sz w:val="24"/>
          <w:szCs w:val="24"/>
        </w:rPr>
        <w:lastRenderedPageBreak/>
        <w:t>Si ringrazia per la collaborazione.</w:t>
      </w:r>
    </w:p>
    <w:p w14:paraId="75987C1B" w14:textId="77777777" w:rsidR="000A4E46" w:rsidRDefault="000A4E46" w:rsidP="00ED1C90">
      <w:pPr>
        <w:jc w:val="both"/>
        <w:rPr>
          <w:rFonts w:ascii="Times New Roman" w:eastAsia="Times New Roman" w:hAnsi="Times New Roman" w:cs="Times New Roman"/>
          <w:b/>
          <w:bCs/>
          <w:sz w:val="24"/>
          <w:szCs w:val="24"/>
        </w:rPr>
      </w:pPr>
    </w:p>
    <w:p w14:paraId="43A69BA3" w14:textId="1384F709" w:rsidR="00ED1C90" w:rsidRDefault="00ED1C90" w:rsidP="00ED1C90">
      <w:pPr>
        <w:jc w:val="both"/>
        <w:rPr>
          <w:rFonts w:ascii="Times New Roman" w:eastAsia="Times New Roman" w:hAnsi="Times New Roman" w:cs="Times New Roman"/>
          <w:b/>
          <w:bCs/>
          <w:sz w:val="24"/>
          <w:szCs w:val="24"/>
        </w:rPr>
      </w:pPr>
      <w:r w:rsidRPr="005253CE">
        <w:rPr>
          <w:rFonts w:ascii="Times New Roman" w:eastAsia="Times New Roman" w:hAnsi="Times New Roman" w:cs="Times New Roman"/>
          <w:b/>
          <w:bCs/>
          <w:sz w:val="24"/>
          <w:szCs w:val="24"/>
        </w:rPr>
        <w:t>Manda alla Cancelleria delle esecuzioni Immobiliari</w:t>
      </w:r>
      <w:r>
        <w:rPr>
          <w:rFonts w:ascii="Times New Roman" w:eastAsia="Times New Roman" w:hAnsi="Times New Roman" w:cs="Times New Roman"/>
          <w:b/>
          <w:bCs/>
          <w:sz w:val="24"/>
          <w:szCs w:val="24"/>
        </w:rPr>
        <w:t xml:space="preserve"> </w:t>
      </w:r>
      <w:r w:rsidRPr="005253CE">
        <w:rPr>
          <w:rFonts w:ascii="Times New Roman" w:eastAsia="Times New Roman" w:hAnsi="Times New Roman" w:cs="Times New Roman"/>
          <w:b/>
          <w:bCs/>
          <w:sz w:val="24"/>
          <w:szCs w:val="24"/>
        </w:rPr>
        <w:t>per l’inoltro della presente circolare ai Custodi giudiziari e Professionisti Delegati alla Vendita presso il Tribunale Ordinario di Bolzano</w:t>
      </w:r>
      <w:r w:rsidR="000A4E46">
        <w:rPr>
          <w:rFonts w:ascii="Times New Roman" w:eastAsia="Times New Roman" w:hAnsi="Times New Roman" w:cs="Times New Roman"/>
          <w:b/>
          <w:bCs/>
          <w:sz w:val="24"/>
          <w:szCs w:val="24"/>
        </w:rPr>
        <w:t>.</w:t>
      </w:r>
    </w:p>
    <w:p w14:paraId="17676158" w14:textId="77777777" w:rsidR="005253CE" w:rsidRPr="005253CE" w:rsidRDefault="005253CE" w:rsidP="005253CE">
      <w:pPr>
        <w:ind w:left="360"/>
        <w:jc w:val="both"/>
        <w:rPr>
          <w:rFonts w:ascii="Times New Roman" w:eastAsia="Times New Roman" w:hAnsi="Times New Roman" w:cs="Times New Roman"/>
          <w:sz w:val="24"/>
          <w:szCs w:val="24"/>
        </w:rPr>
      </w:pPr>
    </w:p>
    <w:p w14:paraId="28BB05A6" w14:textId="3E6D8B08" w:rsidR="00A01723" w:rsidRPr="001F7A3A" w:rsidRDefault="00A01723" w:rsidP="005253CE">
      <w:pPr>
        <w:rPr>
          <w:rFonts w:ascii="Times New Roman" w:eastAsia="Times New Roman" w:hAnsi="Times New Roman" w:cs="Times New Roman"/>
          <w:sz w:val="24"/>
          <w:szCs w:val="24"/>
        </w:rPr>
      </w:pPr>
      <w:r w:rsidRPr="001F7A3A">
        <w:rPr>
          <w:rFonts w:ascii="Times New Roman" w:eastAsia="Times New Roman" w:hAnsi="Times New Roman" w:cs="Times New Roman"/>
          <w:sz w:val="24"/>
          <w:szCs w:val="24"/>
        </w:rPr>
        <w:t xml:space="preserve">Il </w:t>
      </w:r>
      <w:r w:rsidR="00234679" w:rsidRPr="001F7A3A">
        <w:rPr>
          <w:rFonts w:ascii="Times New Roman" w:eastAsia="Times New Roman" w:hAnsi="Times New Roman" w:cs="Times New Roman"/>
          <w:sz w:val="24"/>
          <w:szCs w:val="24"/>
        </w:rPr>
        <w:t>g</w:t>
      </w:r>
      <w:r w:rsidRPr="001F7A3A">
        <w:rPr>
          <w:rFonts w:ascii="Times New Roman" w:eastAsia="Times New Roman" w:hAnsi="Times New Roman" w:cs="Times New Roman"/>
          <w:sz w:val="24"/>
          <w:szCs w:val="24"/>
        </w:rPr>
        <w:t>iudice dell’esecuzione immobiliare</w:t>
      </w:r>
    </w:p>
    <w:p w14:paraId="2C82C5A1" w14:textId="425544E9" w:rsidR="00607EC6" w:rsidRPr="001F7A3A" w:rsidRDefault="00A01723" w:rsidP="009D77A4">
      <w:pPr>
        <w:rPr>
          <w:rFonts w:ascii="Times New Roman" w:eastAsia="Times New Roman" w:hAnsi="Times New Roman" w:cs="Times New Roman"/>
          <w:i/>
          <w:iCs/>
          <w:sz w:val="24"/>
          <w:szCs w:val="24"/>
        </w:rPr>
      </w:pPr>
      <w:r w:rsidRPr="001F7A3A">
        <w:rPr>
          <w:rFonts w:ascii="Times New Roman" w:eastAsia="Times New Roman" w:hAnsi="Times New Roman" w:cs="Times New Roman"/>
          <w:i/>
          <w:iCs/>
          <w:sz w:val="24"/>
          <w:szCs w:val="24"/>
        </w:rPr>
        <w:t>Massimiliano Segarizzi</w:t>
      </w:r>
    </w:p>
    <w:sectPr w:rsidR="00607EC6" w:rsidRPr="001F7A3A" w:rsidSect="00814495">
      <w:footerReference w:type="default" r:id="rId8"/>
      <w:pgSz w:w="12240" w:h="15840"/>
      <w:pgMar w:top="1418" w:right="1418" w:bottom="1418" w:left="1418" w:header="720" w:footer="55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C1BF3" w14:textId="77777777" w:rsidR="00B67E13" w:rsidRDefault="00B67E13" w:rsidP="00851C88">
      <w:pPr>
        <w:spacing w:line="240" w:lineRule="auto"/>
      </w:pPr>
      <w:r>
        <w:separator/>
      </w:r>
    </w:p>
  </w:endnote>
  <w:endnote w:type="continuationSeparator" w:id="0">
    <w:p w14:paraId="0D7543EF" w14:textId="77777777" w:rsidR="00B67E13" w:rsidRDefault="00B67E13" w:rsidP="00851C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18206"/>
      <w:docPartObj>
        <w:docPartGallery w:val="Page Numbers (Bottom of Page)"/>
        <w:docPartUnique/>
      </w:docPartObj>
    </w:sdtPr>
    <w:sdtEndPr>
      <w:rPr>
        <w:rFonts w:ascii="Times New Roman" w:hAnsi="Times New Roman" w:cs="Times New Roman"/>
        <w:sz w:val="26"/>
        <w:szCs w:val="26"/>
      </w:rPr>
    </w:sdtEndPr>
    <w:sdtContent>
      <w:p w14:paraId="25EC02B2" w14:textId="4887F523" w:rsidR="00851C88" w:rsidRPr="000A4E46" w:rsidRDefault="00851C88" w:rsidP="000A4E46">
        <w:pPr>
          <w:pStyle w:val="Pidipagina"/>
          <w:rPr>
            <w:rFonts w:ascii="Times New Roman" w:hAnsi="Times New Roman" w:cs="Times New Roman"/>
            <w:sz w:val="26"/>
            <w:szCs w:val="26"/>
          </w:rPr>
        </w:pPr>
        <w:r w:rsidRPr="00DF035F">
          <w:rPr>
            <w:rFonts w:ascii="Times New Roman" w:hAnsi="Times New Roman" w:cs="Times New Roman"/>
            <w:sz w:val="26"/>
            <w:szCs w:val="26"/>
          </w:rPr>
          <w:fldChar w:fldCharType="begin"/>
        </w:r>
        <w:r w:rsidRPr="00DF035F">
          <w:rPr>
            <w:rFonts w:ascii="Times New Roman" w:hAnsi="Times New Roman" w:cs="Times New Roman"/>
            <w:sz w:val="26"/>
            <w:szCs w:val="26"/>
          </w:rPr>
          <w:instrText>PAGE   \* MERGEFORMAT</w:instrText>
        </w:r>
        <w:r w:rsidRPr="00DF035F">
          <w:rPr>
            <w:rFonts w:ascii="Times New Roman" w:hAnsi="Times New Roman" w:cs="Times New Roman"/>
            <w:sz w:val="26"/>
            <w:szCs w:val="26"/>
          </w:rPr>
          <w:fldChar w:fldCharType="separate"/>
        </w:r>
        <w:r w:rsidRPr="00DF035F">
          <w:rPr>
            <w:rFonts w:ascii="Times New Roman" w:hAnsi="Times New Roman" w:cs="Times New Roman"/>
            <w:sz w:val="26"/>
            <w:szCs w:val="26"/>
          </w:rPr>
          <w:t>2</w:t>
        </w:r>
        <w:r w:rsidRPr="00DF035F">
          <w:rPr>
            <w:rFonts w:ascii="Times New Roman" w:hAnsi="Times New Roman" w:cs="Times New Roman"/>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59242" w14:textId="77777777" w:rsidR="00B67E13" w:rsidRDefault="00B67E13" w:rsidP="00851C88">
      <w:pPr>
        <w:spacing w:line="240" w:lineRule="auto"/>
      </w:pPr>
      <w:r>
        <w:separator/>
      </w:r>
    </w:p>
  </w:footnote>
  <w:footnote w:type="continuationSeparator" w:id="0">
    <w:p w14:paraId="4DCA4126" w14:textId="77777777" w:rsidR="00B67E13" w:rsidRDefault="00B67E13" w:rsidP="00851C88">
      <w:pPr>
        <w:spacing w:line="240" w:lineRule="auto"/>
      </w:pPr>
      <w:r>
        <w:continuationSeparator/>
      </w:r>
    </w:p>
  </w:footnote>
  <w:footnote w:id="1">
    <w:p w14:paraId="32CAC60C" w14:textId="3660AF66" w:rsidR="0082484A" w:rsidRDefault="0082484A" w:rsidP="0082484A">
      <w:pPr>
        <w:pStyle w:val="Testonotaapidipagina"/>
        <w:jc w:val="left"/>
      </w:pPr>
      <w:r>
        <w:rPr>
          <w:rStyle w:val="Rimandonotaapidipagina"/>
        </w:rPr>
        <w:footnoteRef/>
      </w:r>
      <w:r>
        <w:t xml:space="preserve"> Reperibili all’indirizzo </w:t>
      </w:r>
      <w:r w:rsidRPr="0082484A">
        <w:t>https://www.tribunale.bolzano.it/it/News/Detail/179562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54F"/>
    <w:multiLevelType w:val="hybridMultilevel"/>
    <w:tmpl w:val="25A212AA"/>
    <w:lvl w:ilvl="0" w:tplc="2D0C8A9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C86BBF"/>
    <w:multiLevelType w:val="hybridMultilevel"/>
    <w:tmpl w:val="8354C7C8"/>
    <w:lvl w:ilvl="0" w:tplc="C812E630">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A178DC"/>
    <w:multiLevelType w:val="multilevel"/>
    <w:tmpl w:val="05004754"/>
    <w:lvl w:ilvl="0">
      <w:start w:val="2"/>
      <w:numFmt w:val="decimal"/>
      <w:lvlText w:val="%1."/>
      <w:lvlJc w:val="left"/>
      <w:pPr>
        <w:tabs>
          <w:tab w:val="num" w:pos="540"/>
        </w:tabs>
        <w:ind w:left="540" w:hanging="540"/>
      </w:pPr>
    </w:lvl>
    <w:lvl w:ilvl="1">
      <w:start w:val="1"/>
      <w:numFmt w:val="decimal"/>
      <w:lvlText w:val="%1.%2)"/>
      <w:lvlJc w:val="left"/>
      <w:pPr>
        <w:tabs>
          <w:tab w:val="num" w:pos="720"/>
        </w:tabs>
        <w:ind w:left="720" w:hanging="720"/>
      </w:pPr>
    </w:lvl>
    <w:lvl w:ilvl="2">
      <w:start w:val="1"/>
      <w:numFmt w:val="lowerLetter"/>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C44487E"/>
    <w:multiLevelType w:val="hybridMultilevel"/>
    <w:tmpl w:val="A5AA0676"/>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0E173658"/>
    <w:multiLevelType w:val="hybridMultilevel"/>
    <w:tmpl w:val="1F22C1A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921601"/>
    <w:multiLevelType w:val="hybridMultilevel"/>
    <w:tmpl w:val="EB54AD9C"/>
    <w:lvl w:ilvl="0" w:tplc="68EC891E">
      <w:numFmt w:val="bullet"/>
      <w:lvlText w:val=""/>
      <w:lvlJc w:val="left"/>
      <w:pPr>
        <w:ind w:left="1413" w:hanging="705"/>
      </w:pPr>
      <w:rPr>
        <w:rFonts w:ascii="Symbol" w:eastAsia="Times New Roman" w:hAnsi="Symbol"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1D8C3781"/>
    <w:multiLevelType w:val="hybridMultilevel"/>
    <w:tmpl w:val="9C8409AE"/>
    <w:lvl w:ilvl="0" w:tplc="C4660CB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BF241B"/>
    <w:multiLevelType w:val="hybridMultilevel"/>
    <w:tmpl w:val="FCAABD8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482B5C"/>
    <w:multiLevelType w:val="hybridMultilevel"/>
    <w:tmpl w:val="9AC29D46"/>
    <w:lvl w:ilvl="0" w:tplc="2934361C">
      <w:start w:val="1"/>
      <w:numFmt w:val="decimal"/>
      <w:lvlText w:val="%1)"/>
      <w:lvlJc w:val="left"/>
      <w:pPr>
        <w:ind w:left="720" w:hanging="360"/>
      </w:pPr>
      <w:rPr>
        <w:b w:val="0"/>
        <w:b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29253239"/>
    <w:multiLevelType w:val="hybridMultilevel"/>
    <w:tmpl w:val="6332ED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D54A00"/>
    <w:multiLevelType w:val="hybridMultilevel"/>
    <w:tmpl w:val="DF8C8C7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2C6E2302"/>
    <w:multiLevelType w:val="hybridMultilevel"/>
    <w:tmpl w:val="7AFEFA8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CC41D07"/>
    <w:multiLevelType w:val="hybridMultilevel"/>
    <w:tmpl w:val="DC26352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926DAF"/>
    <w:multiLevelType w:val="multilevel"/>
    <w:tmpl w:val="32A06FC4"/>
    <w:lvl w:ilvl="0">
      <w:start w:val="1"/>
      <w:numFmt w:val="none"/>
      <w:lvlText w:val="2)"/>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13033AA"/>
    <w:multiLevelType w:val="hybridMultilevel"/>
    <w:tmpl w:val="A2A087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915249"/>
    <w:multiLevelType w:val="hybridMultilevel"/>
    <w:tmpl w:val="57F24000"/>
    <w:lvl w:ilvl="0" w:tplc="ADA631C2">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1E40E2"/>
    <w:multiLevelType w:val="hybridMultilevel"/>
    <w:tmpl w:val="C65A2662"/>
    <w:lvl w:ilvl="0" w:tplc="0BF052DA">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5F5BA0"/>
    <w:multiLevelType w:val="multilevel"/>
    <w:tmpl w:val="6420B3E0"/>
    <w:lvl w:ilvl="0">
      <w:start w:val="8"/>
      <w:numFmt w:val="decimal"/>
      <w:lvlText w:val="%1)"/>
      <w:lvlJc w:val="left"/>
      <w:pPr>
        <w:tabs>
          <w:tab w:val="num" w:pos="540"/>
        </w:tabs>
        <w:ind w:left="540" w:hanging="540"/>
      </w:pPr>
      <w:rPr>
        <w:rFonts w:ascii="Arial" w:hAnsi="Arial" w:cs="Times New Roman" w:hint="default"/>
        <w:sz w:val="24"/>
        <w:szCs w:val="24"/>
      </w:rPr>
    </w:lvl>
    <w:lvl w:ilvl="1">
      <w:start w:val="1"/>
      <w:numFmt w:val="decimal"/>
      <w:lvlText w:val="%1.%2)"/>
      <w:lvlJc w:val="left"/>
      <w:pPr>
        <w:tabs>
          <w:tab w:val="num" w:pos="720"/>
        </w:tabs>
        <w:ind w:left="720" w:hanging="720"/>
      </w:pPr>
    </w:lvl>
    <w:lvl w:ilvl="2">
      <w:start w:val="1"/>
      <w:numFmt w:val="lowerLetter"/>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3A3122C0"/>
    <w:multiLevelType w:val="hybridMultilevel"/>
    <w:tmpl w:val="ADF4DDBA"/>
    <w:lvl w:ilvl="0" w:tplc="04100017">
      <w:start w:val="1"/>
      <w:numFmt w:val="lowerLetter"/>
      <w:lvlText w:val="%1)"/>
      <w:lvlJc w:val="left"/>
      <w:pPr>
        <w:ind w:left="1413" w:hanging="705"/>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3BB8367A"/>
    <w:multiLevelType w:val="hybridMultilevel"/>
    <w:tmpl w:val="820464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27325E"/>
    <w:multiLevelType w:val="hybridMultilevel"/>
    <w:tmpl w:val="1C3C9F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D6C7306"/>
    <w:multiLevelType w:val="hybridMultilevel"/>
    <w:tmpl w:val="076AC2E6"/>
    <w:lvl w:ilvl="0" w:tplc="8C9E3112">
      <w:start w:val="1"/>
      <w:numFmt w:val="bullet"/>
      <w:lvlText w:val=""/>
      <w:lvlJc w:val="left"/>
      <w:pPr>
        <w:tabs>
          <w:tab w:val="num" w:pos="720"/>
        </w:tabs>
        <w:ind w:left="720" w:hanging="360"/>
      </w:pPr>
      <w:rPr>
        <w:rFonts w:ascii="Symbol" w:hAnsi="Symbol" w:hint="default"/>
        <w:b w:val="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2" w15:restartNumberingAfterBreak="0">
    <w:nsid w:val="4ECD62AF"/>
    <w:multiLevelType w:val="hybridMultilevel"/>
    <w:tmpl w:val="36D8613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8DD665D"/>
    <w:multiLevelType w:val="hybridMultilevel"/>
    <w:tmpl w:val="B4CA2E4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5B907A3F"/>
    <w:multiLevelType w:val="multilevel"/>
    <w:tmpl w:val="5A1C75A6"/>
    <w:lvl w:ilvl="0">
      <w:start w:val="1"/>
      <w:numFmt w:val="none"/>
      <w:lvlText w:val="2)"/>
      <w:lvlJc w:val="left"/>
      <w:pPr>
        <w:tabs>
          <w:tab w:val="num" w:pos="360"/>
        </w:tabs>
        <w:ind w:left="360" w:hanging="360"/>
      </w:pPr>
    </w:lvl>
    <w:lvl w:ilvl="1">
      <w:start w:val="1"/>
      <w:numFmt w:val="decimal"/>
      <w:lvlText w:val="2.%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1B043F3"/>
    <w:multiLevelType w:val="hybridMultilevel"/>
    <w:tmpl w:val="0A5004F2"/>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15:restartNumberingAfterBreak="0">
    <w:nsid w:val="73611903"/>
    <w:multiLevelType w:val="hybridMultilevel"/>
    <w:tmpl w:val="C2D87D84"/>
    <w:lvl w:ilvl="0" w:tplc="BD3AEF64">
      <w:start w:val="1"/>
      <w:numFmt w:val="decimal"/>
      <w:lvlText w:val="%1)"/>
      <w:lvlJc w:val="left"/>
      <w:pPr>
        <w:ind w:left="1080" w:hanging="360"/>
      </w:pPr>
      <w:rPr>
        <w:b/>
        <w:bCs/>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7" w15:restartNumberingAfterBreak="0">
    <w:nsid w:val="794812AF"/>
    <w:multiLevelType w:val="hybridMultilevel"/>
    <w:tmpl w:val="12CC9798"/>
    <w:lvl w:ilvl="0" w:tplc="8EB6849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66786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592608">
    <w:abstractNumId w:val="26"/>
  </w:num>
  <w:num w:numId="3" w16cid:durableId="17478738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058184">
    <w:abstractNumId w:val="10"/>
  </w:num>
  <w:num w:numId="5" w16cid:durableId="47846530">
    <w:abstractNumId w:val="8"/>
  </w:num>
  <w:num w:numId="6" w16cid:durableId="1511482330">
    <w:abstractNumId w:val="11"/>
  </w:num>
  <w:num w:numId="7" w16cid:durableId="1556432566">
    <w:abstractNumId w:val="9"/>
  </w:num>
  <w:num w:numId="8" w16cid:durableId="20046990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422764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408486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87021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018635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4141200">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97694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8460995">
    <w:abstractNumId w:val="0"/>
  </w:num>
  <w:num w:numId="16" w16cid:durableId="913776465">
    <w:abstractNumId w:val="3"/>
  </w:num>
  <w:num w:numId="17" w16cid:durableId="1990011350">
    <w:abstractNumId w:val="23"/>
  </w:num>
  <w:num w:numId="18" w16cid:durableId="318316404">
    <w:abstractNumId w:val="14"/>
  </w:num>
  <w:num w:numId="19" w16cid:durableId="308901027">
    <w:abstractNumId w:val="1"/>
  </w:num>
  <w:num w:numId="20" w16cid:durableId="1413160772">
    <w:abstractNumId w:val="26"/>
  </w:num>
  <w:num w:numId="21" w16cid:durableId="222524695">
    <w:abstractNumId w:val="19"/>
  </w:num>
  <w:num w:numId="22" w16cid:durableId="1510949983">
    <w:abstractNumId w:val="7"/>
  </w:num>
  <w:num w:numId="23" w16cid:durableId="1065034487">
    <w:abstractNumId w:val="27"/>
  </w:num>
  <w:num w:numId="24" w16cid:durableId="1275677939">
    <w:abstractNumId w:val="4"/>
  </w:num>
  <w:num w:numId="25" w16cid:durableId="433941274">
    <w:abstractNumId w:val="15"/>
  </w:num>
  <w:num w:numId="26" w16cid:durableId="1855418032">
    <w:abstractNumId w:val="5"/>
  </w:num>
  <w:num w:numId="27" w16cid:durableId="1428039256">
    <w:abstractNumId w:val="6"/>
  </w:num>
  <w:num w:numId="28" w16cid:durableId="1457675771">
    <w:abstractNumId w:val="12"/>
  </w:num>
  <w:num w:numId="29" w16cid:durableId="1035615339">
    <w:abstractNumId w:val="16"/>
  </w:num>
  <w:num w:numId="30" w16cid:durableId="1379739525">
    <w:abstractNumId w:val="18"/>
  </w:num>
  <w:num w:numId="31" w16cid:durableId="1621646573">
    <w:abstractNumId w:val="20"/>
  </w:num>
  <w:num w:numId="32" w16cid:durableId="7807611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68"/>
    <w:rsid w:val="000004FB"/>
    <w:rsid w:val="00002AD1"/>
    <w:rsid w:val="000117B0"/>
    <w:rsid w:val="00012545"/>
    <w:rsid w:val="0001677E"/>
    <w:rsid w:val="000202A2"/>
    <w:rsid w:val="000211F5"/>
    <w:rsid w:val="000226BB"/>
    <w:rsid w:val="00030699"/>
    <w:rsid w:val="0004116E"/>
    <w:rsid w:val="00045D34"/>
    <w:rsid w:val="0004695D"/>
    <w:rsid w:val="0005093F"/>
    <w:rsid w:val="00051AAB"/>
    <w:rsid w:val="0006293F"/>
    <w:rsid w:val="00066790"/>
    <w:rsid w:val="00075AE6"/>
    <w:rsid w:val="0007729E"/>
    <w:rsid w:val="00080D94"/>
    <w:rsid w:val="000A4E46"/>
    <w:rsid w:val="000A76EC"/>
    <w:rsid w:val="000C61A8"/>
    <w:rsid w:val="000D22E0"/>
    <w:rsid w:val="000D4429"/>
    <w:rsid w:val="000D7FEE"/>
    <w:rsid w:val="000E47F9"/>
    <w:rsid w:val="000F1072"/>
    <w:rsid w:val="001055B5"/>
    <w:rsid w:val="00115A2A"/>
    <w:rsid w:val="0013032D"/>
    <w:rsid w:val="00137987"/>
    <w:rsid w:val="00144D53"/>
    <w:rsid w:val="0015735E"/>
    <w:rsid w:val="0016048A"/>
    <w:rsid w:val="00164093"/>
    <w:rsid w:val="00164EA4"/>
    <w:rsid w:val="00186844"/>
    <w:rsid w:val="00194AF6"/>
    <w:rsid w:val="00197F4D"/>
    <w:rsid w:val="001B220F"/>
    <w:rsid w:val="001B3EBE"/>
    <w:rsid w:val="001C7558"/>
    <w:rsid w:val="001D2080"/>
    <w:rsid w:val="001E2395"/>
    <w:rsid w:val="001E6C5C"/>
    <w:rsid w:val="001E76D8"/>
    <w:rsid w:val="001F5542"/>
    <w:rsid w:val="001F78BE"/>
    <w:rsid w:val="001F7A3A"/>
    <w:rsid w:val="00206A03"/>
    <w:rsid w:val="002115E1"/>
    <w:rsid w:val="002255A0"/>
    <w:rsid w:val="00227B18"/>
    <w:rsid w:val="00231E01"/>
    <w:rsid w:val="00234679"/>
    <w:rsid w:val="00241BC3"/>
    <w:rsid w:val="00242DF2"/>
    <w:rsid w:val="00245110"/>
    <w:rsid w:val="00245C90"/>
    <w:rsid w:val="002471B7"/>
    <w:rsid w:val="00250440"/>
    <w:rsid w:val="00257CB1"/>
    <w:rsid w:val="00267DBF"/>
    <w:rsid w:val="0027294E"/>
    <w:rsid w:val="002735FC"/>
    <w:rsid w:val="002826B0"/>
    <w:rsid w:val="002832F0"/>
    <w:rsid w:val="00284011"/>
    <w:rsid w:val="00284FD6"/>
    <w:rsid w:val="00286898"/>
    <w:rsid w:val="002876C5"/>
    <w:rsid w:val="002A0556"/>
    <w:rsid w:val="002B4D5D"/>
    <w:rsid w:val="002B57D2"/>
    <w:rsid w:val="002B6735"/>
    <w:rsid w:val="002D052E"/>
    <w:rsid w:val="002D71DC"/>
    <w:rsid w:val="002E5CB3"/>
    <w:rsid w:val="002E6E3E"/>
    <w:rsid w:val="002F009A"/>
    <w:rsid w:val="002F400C"/>
    <w:rsid w:val="002F4CC9"/>
    <w:rsid w:val="003054CC"/>
    <w:rsid w:val="00311CA2"/>
    <w:rsid w:val="0031709C"/>
    <w:rsid w:val="00326D8B"/>
    <w:rsid w:val="00327C15"/>
    <w:rsid w:val="00334320"/>
    <w:rsid w:val="00354C20"/>
    <w:rsid w:val="00356F09"/>
    <w:rsid w:val="00357173"/>
    <w:rsid w:val="00361A26"/>
    <w:rsid w:val="00362AC8"/>
    <w:rsid w:val="00364C46"/>
    <w:rsid w:val="0037301F"/>
    <w:rsid w:val="00381F8E"/>
    <w:rsid w:val="00384773"/>
    <w:rsid w:val="00391AEE"/>
    <w:rsid w:val="00392700"/>
    <w:rsid w:val="003A76FF"/>
    <w:rsid w:val="003B3F2A"/>
    <w:rsid w:val="003C49C8"/>
    <w:rsid w:val="003C6363"/>
    <w:rsid w:val="003C7216"/>
    <w:rsid w:val="003C722F"/>
    <w:rsid w:val="003D2159"/>
    <w:rsid w:val="003D3020"/>
    <w:rsid w:val="003D6625"/>
    <w:rsid w:val="003F6DB3"/>
    <w:rsid w:val="0040156D"/>
    <w:rsid w:val="004016E4"/>
    <w:rsid w:val="004053D8"/>
    <w:rsid w:val="0043066A"/>
    <w:rsid w:val="00433038"/>
    <w:rsid w:val="00456704"/>
    <w:rsid w:val="00457682"/>
    <w:rsid w:val="00460DBD"/>
    <w:rsid w:val="00463A73"/>
    <w:rsid w:val="00466864"/>
    <w:rsid w:val="004835EA"/>
    <w:rsid w:val="0048510C"/>
    <w:rsid w:val="004902C9"/>
    <w:rsid w:val="004A1145"/>
    <w:rsid w:val="004A4556"/>
    <w:rsid w:val="004A7846"/>
    <w:rsid w:val="004B376A"/>
    <w:rsid w:val="004B38B4"/>
    <w:rsid w:val="004B75F7"/>
    <w:rsid w:val="004C5ADA"/>
    <w:rsid w:val="004C6D2D"/>
    <w:rsid w:val="004D7886"/>
    <w:rsid w:val="004E0C90"/>
    <w:rsid w:val="004E0CDE"/>
    <w:rsid w:val="004E2414"/>
    <w:rsid w:val="00501BEC"/>
    <w:rsid w:val="005020E9"/>
    <w:rsid w:val="0051643C"/>
    <w:rsid w:val="00517894"/>
    <w:rsid w:val="00524D6E"/>
    <w:rsid w:val="005253CE"/>
    <w:rsid w:val="00541D44"/>
    <w:rsid w:val="00556B57"/>
    <w:rsid w:val="00564DD8"/>
    <w:rsid w:val="00567891"/>
    <w:rsid w:val="00571650"/>
    <w:rsid w:val="00572377"/>
    <w:rsid w:val="005775FA"/>
    <w:rsid w:val="0058090F"/>
    <w:rsid w:val="0059744D"/>
    <w:rsid w:val="005A1157"/>
    <w:rsid w:val="005A3202"/>
    <w:rsid w:val="005A7CFE"/>
    <w:rsid w:val="005A7DF6"/>
    <w:rsid w:val="005C5460"/>
    <w:rsid w:val="005C600B"/>
    <w:rsid w:val="005F1CA0"/>
    <w:rsid w:val="00602D95"/>
    <w:rsid w:val="00604694"/>
    <w:rsid w:val="00607EC6"/>
    <w:rsid w:val="006243BC"/>
    <w:rsid w:val="00625276"/>
    <w:rsid w:val="00627EC7"/>
    <w:rsid w:val="00640F9C"/>
    <w:rsid w:val="00652CE6"/>
    <w:rsid w:val="006743FA"/>
    <w:rsid w:val="00680601"/>
    <w:rsid w:val="00684F71"/>
    <w:rsid w:val="00685AC8"/>
    <w:rsid w:val="006918AA"/>
    <w:rsid w:val="006A0119"/>
    <w:rsid w:val="006A2BC2"/>
    <w:rsid w:val="006A3067"/>
    <w:rsid w:val="006A5558"/>
    <w:rsid w:val="006C20C8"/>
    <w:rsid w:val="006C4693"/>
    <w:rsid w:val="006D79D2"/>
    <w:rsid w:val="006E31AB"/>
    <w:rsid w:val="00710548"/>
    <w:rsid w:val="00713A79"/>
    <w:rsid w:val="0072370D"/>
    <w:rsid w:val="00725AD2"/>
    <w:rsid w:val="00741CD2"/>
    <w:rsid w:val="00742534"/>
    <w:rsid w:val="007458DE"/>
    <w:rsid w:val="00755B7B"/>
    <w:rsid w:val="00761D3D"/>
    <w:rsid w:val="007702D5"/>
    <w:rsid w:val="007714CD"/>
    <w:rsid w:val="00776E55"/>
    <w:rsid w:val="00785356"/>
    <w:rsid w:val="00787B75"/>
    <w:rsid w:val="007A3C9C"/>
    <w:rsid w:val="007C7127"/>
    <w:rsid w:val="007D6E41"/>
    <w:rsid w:val="007D70E4"/>
    <w:rsid w:val="007E0AC7"/>
    <w:rsid w:val="007E1B3C"/>
    <w:rsid w:val="007E3C1B"/>
    <w:rsid w:val="007F233B"/>
    <w:rsid w:val="007F4396"/>
    <w:rsid w:val="00814495"/>
    <w:rsid w:val="00817AEA"/>
    <w:rsid w:val="0082484A"/>
    <w:rsid w:val="00831E96"/>
    <w:rsid w:val="00834639"/>
    <w:rsid w:val="00843118"/>
    <w:rsid w:val="008459DF"/>
    <w:rsid w:val="00851C88"/>
    <w:rsid w:val="00886178"/>
    <w:rsid w:val="00886F63"/>
    <w:rsid w:val="00890C99"/>
    <w:rsid w:val="008934D0"/>
    <w:rsid w:val="00893507"/>
    <w:rsid w:val="008971B3"/>
    <w:rsid w:val="008A3711"/>
    <w:rsid w:val="008C052D"/>
    <w:rsid w:val="008C52C4"/>
    <w:rsid w:val="008C621B"/>
    <w:rsid w:val="008C6851"/>
    <w:rsid w:val="008D6EEB"/>
    <w:rsid w:val="008E0305"/>
    <w:rsid w:val="008E350E"/>
    <w:rsid w:val="008E3631"/>
    <w:rsid w:val="008E7F07"/>
    <w:rsid w:val="00907990"/>
    <w:rsid w:val="00910BFF"/>
    <w:rsid w:val="00913DE7"/>
    <w:rsid w:val="0091580A"/>
    <w:rsid w:val="00921ECD"/>
    <w:rsid w:val="00927270"/>
    <w:rsid w:val="009272D0"/>
    <w:rsid w:val="00927555"/>
    <w:rsid w:val="009473AA"/>
    <w:rsid w:val="00953A77"/>
    <w:rsid w:val="009549BA"/>
    <w:rsid w:val="00956B8E"/>
    <w:rsid w:val="009578C9"/>
    <w:rsid w:val="009659F8"/>
    <w:rsid w:val="009711D9"/>
    <w:rsid w:val="009767C0"/>
    <w:rsid w:val="0098239D"/>
    <w:rsid w:val="00990428"/>
    <w:rsid w:val="00990E87"/>
    <w:rsid w:val="00994E62"/>
    <w:rsid w:val="009A4D07"/>
    <w:rsid w:val="009A6DFF"/>
    <w:rsid w:val="009B1D58"/>
    <w:rsid w:val="009B5E8E"/>
    <w:rsid w:val="009D77A4"/>
    <w:rsid w:val="009E2FCB"/>
    <w:rsid w:val="009F2E45"/>
    <w:rsid w:val="009F6FFB"/>
    <w:rsid w:val="00A0050F"/>
    <w:rsid w:val="00A01723"/>
    <w:rsid w:val="00A05879"/>
    <w:rsid w:val="00A06F8E"/>
    <w:rsid w:val="00A2138F"/>
    <w:rsid w:val="00A404A5"/>
    <w:rsid w:val="00A53A62"/>
    <w:rsid w:val="00A552E9"/>
    <w:rsid w:val="00A61C9C"/>
    <w:rsid w:val="00A63325"/>
    <w:rsid w:val="00A646F3"/>
    <w:rsid w:val="00A660C1"/>
    <w:rsid w:val="00A67659"/>
    <w:rsid w:val="00A75593"/>
    <w:rsid w:val="00A8309A"/>
    <w:rsid w:val="00A83576"/>
    <w:rsid w:val="00AA05DB"/>
    <w:rsid w:val="00AA60A5"/>
    <w:rsid w:val="00AA6380"/>
    <w:rsid w:val="00AB36F0"/>
    <w:rsid w:val="00AB56CC"/>
    <w:rsid w:val="00AB5995"/>
    <w:rsid w:val="00AB6D9D"/>
    <w:rsid w:val="00AC2E5C"/>
    <w:rsid w:val="00AD6E4D"/>
    <w:rsid w:val="00AF1A97"/>
    <w:rsid w:val="00AF208F"/>
    <w:rsid w:val="00AF2B56"/>
    <w:rsid w:val="00AF3E6E"/>
    <w:rsid w:val="00AF5ADE"/>
    <w:rsid w:val="00B00FFF"/>
    <w:rsid w:val="00B176D1"/>
    <w:rsid w:val="00B211B4"/>
    <w:rsid w:val="00B24722"/>
    <w:rsid w:val="00B24E69"/>
    <w:rsid w:val="00B36132"/>
    <w:rsid w:val="00B5165B"/>
    <w:rsid w:val="00B51CFD"/>
    <w:rsid w:val="00B52687"/>
    <w:rsid w:val="00B60468"/>
    <w:rsid w:val="00B61DE8"/>
    <w:rsid w:val="00B6431A"/>
    <w:rsid w:val="00B66739"/>
    <w:rsid w:val="00B67E13"/>
    <w:rsid w:val="00B709E7"/>
    <w:rsid w:val="00B741DA"/>
    <w:rsid w:val="00B75092"/>
    <w:rsid w:val="00B77566"/>
    <w:rsid w:val="00B809AC"/>
    <w:rsid w:val="00B832BC"/>
    <w:rsid w:val="00B835DE"/>
    <w:rsid w:val="00B843B6"/>
    <w:rsid w:val="00B950FB"/>
    <w:rsid w:val="00B97041"/>
    <w:rsid w:val="00BA1058"/>
    <w:rsid w:val="00BA788C"/>
    <w:rsid w:val="00BB7ABD"/>
    <w:rsid w:val="00BD1F52"/>
    <w:rsid w:val="00BD733A"/>
    <w:rsid w:val="00BE7398"/>
    <w:rsid w:val="00C01A32"/>
    <w:rsid w:val="00C0278A"/>
    <w:rsid w:val="00C04167"/>
    <w:rsid w:val="00C07DFA"/>
    <w:rsid w:val="00C30303"/>
    <w:rsid w:val="00C36546"/>
    <w:rsid w:val="00C45BE3"/>
    <w:rsid w:val="00C803CD"/>
    <w:rsid w:val="00C81258"/>
    <w:rsid w:val="00C93E7F"/>
    <w:rsid w:val="00C97743"/>
    <w:rsid w:val="00CA0A03"/>
    <w:rsid w:val="00CA2BCD"/>
    <w:rsid w:val="00CA5367"/>
    <w:rsid w:val="00CB1A95"/>
    <w:rsid w:val="00CB47AA"/>
    <w:rsid w:val="00CC5575"/>
    <w:rsid w:val="00CD3355"/>
    <w:rsid w:val="00CD71E0"/>
    <w:rsid w:val="00CE5EF6"/>
    <w:rsid w:val="00CF0720"/>
    <w:rsid w:val="00D10628"/>
    <w:rsid w:val="00D13DBB"/>
    <w:rsid w:val="00D2233A"/>
    <w:rsid w:val="00D34CA0"/>
    <w:rsid w:val="00D63A83"/>
    <w:rsid w:val="00D720A8"/>
    <w:rsid w:val="00D957CA"/>
    <w:rsid w:val="00D970EC"/>
    <w:rsid w:val="00DA5B49"/>
    <w:rsid w:val="00DB1330"/>
    <w:rsid w:val="00DB1B9B"/>
    <w:rsid w:val="00DC29D5"/>
    <w:rsid w:val="00DD5D19"/>
    <w:rsid w:val="00DD6902"/>
    <w:rsid w:val="00DE43E5"/>
    <w:rsid w:val="00DF035F"/>
    <w:rsid w:val="00E0255C"/>
    <w:rsid w:val="00E03EB2"/>
    <w:rsid w:val="00E072B2"/>
    <w:rsid w:val="00E100F2"/>
    <w:rsid w:val="00E1752E"/>
    <w:rsid w:val="00E20710"/>
    <w:rsid w:val="00E32EDB"/>
    <w:rsid w:val="00E4510B"/>
    <w:rsid w:val="00E520FE"/>
    <w:rsid w:val="00E5364A"/>
    <w:rsid w:val="00E55898"/>
    <w:rsid w:val="00E55C9E"/>
    <w:rsid w:val="00E66341"/>
    <w:rsid w:val="00E67A21"/>
    <w:rsid w:val="00E73158"/>
    <w:rsid w:val="00E82EF6"/>
    <w:rsid w:val="00E948F0"/>
    <w:rsid w:val="00EA5F97"/>
    <w:rsid w:val="00EA72A7"/>
    <w:rsid w:val="00EB64F3"/>
    <w:rsid w:val="00EC54EF"/>
    <w:rsid w:val="00ED1C90"/>
    <w:rsid w:val="00ED2460"/>
    <w:rsid w:val="00F10F00"/>
    <w:rsid w:val="00F12BD9"/>
    <w:rsid w:val="00F14E99"/>
    <w:rsid w:val="00F25A88"/>
    <w:rsid w:val="00F26F3C"/>
    <w:rsid w:val="00F35FE4"/>
    <w:rsid w:val="00F37320"/>
    <w:rsid w:val="00F41DEF"/>
    <w:rsid w:val="00F50BBB"/>
    <w:rsid w:val="00F73584"/>
    <w:rsid w:val="00F74D4C"/>
    <w:rsid w:val="00F77FFB"/>
    <w:rsid w:val="00F8517F"/>
    <w:rsid w:val="00F852EE"/>
    <w:rsid w:val="00F853B3"/>
    <w:rsid w:val="00F91544"/>
    <w:rsid w:val="00F9244A"/>
    <w:rsid w:val="00F9275F"/>
    <w:rsid w:val="00F9492A"/>
    <w:rsid w:val="00FB70BF"/>
    <w:rsid w:val="00FC0332"/>
    <w:rsid w:val="00FC2F3E"/>
    <w:rsid w:val="00FD15DF"/>
    <w:rsid w:val="00FD5834"/>
    <w:rsid w:val="00FD5B25"/>
    <w:rsid w:val="00FD735B"/>
    <w:rsid w:val="00FF5CB4"/>
    <w:rsid w:val="00FF5F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A285"/>
  <w15:chartTrackingRefBased/>
  <w15:docId w15:val="{8BB201FB-2D94-419D-8570-9C4FF821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60468"/>
    <w:pPr>
      <w:spacing w:line="240" w:lineRule="auto"/>
      <w:ind w:left="720"/>
    </w:pPr>
    <w:rPr>
      <w:rFonts w:ascii="Calibri" w:hAnsi="Calibri" w:cs="Calibri"/>
      <w:lang w:eastAsia="it-IT"/>
    </w:rPr>
  </w:style>
  <w:style w:type="character" w:styleId="Collegamentoipertestuale">
    <w:name w:val="Hyperlink"/>
    <w:basedOn w:val="Carpredefinitoparagrafo"/>
    <w:uiPriority w:val="99"/>
    <w:unhideWhenUsed/>
    <w:rsid w:val="00A404A5"/>
    <w:rPr>
      <w:color w:val="0563C1" w:themeColor="hyperlink"/>
      <w:u w:val="single"/>
    </w:rPr>
  </w:style>
  <w:style w:type="character" w:styleId="Menzionenonrisolta">
    <w:name w:val="Unresolved Mention"/>
    <w:basedOn w:val="Carpredefinitoparagrafo"/>
    <w:uiPriority w:val="99"/>
    <w:semiHidden/>
    <w:unhideWhenUsed/>
    <w:rsid w:val="00A404A5"/>
    <w:rPr>
      <w:color w:val="605E5C"/>
      <w:shd w:val="clear" w:color="auto" w:fill="E1DFDD"/>
    </w:rPr>
  </w:style>
  <w:style w:type="paragraph" w:styleId="Intestazione">
    <w:name w:val="header"/>
    <w:basedOn w:val="Normale"/>
    <w:link w:val="IntestazioneCarattere"/>
    <w:uiPriority w:val="99"/>
    <w:unhideWhenUsed/>
    <w:rsid w:val="00851C8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51C88"/>
  </w:style>
  <w:style w:type="paragraph" w:styleId="Pidipagina">
    <w:name w:val="footer"/>
    <w:basedOn w:val="Normale"/>
    <w:link w:val="PidipaginaCarattere"/>
    <w:uiPriority w:val="99"/>
    <w:unhideWhenUsed/>
    <w:rsid w:val="00851C8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51C88"/>
  </w:style>
  <w:style w:type="paragraph" w:styleId="Testonotaapidipagina">
    <w:name w:val="footnote text"/>
    <w:basedOn w:val="Normale"/>
    <w:link w:val="TestonotaapidipaginaCarattere"/>
    <w:uiPriority w:val="99"/>
    <w:semiHidden/>
    <w:unhideWhenUsed/>
    <w:rsid w:val="0082484A"/>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2484A"/>
    <w:rPr>
      <w:sz w:val="20"/>
      <w:szCs w:val="20"/>
    </w:rPr>
  </w:style>
  <w:style w:type="character" w:styleId="Rimandonotaapidipagina">
    <w:name w:val="footnote reference"/>
    <w:basedOn w:val="Carpredefinitoparagrafo"/>
    <w:uiPriority w:val="99"/>
    <w:semiHidden/>
    <w:unhideWhenUsed/>
    <w:rsid w:val="008248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378">
      <w:bodyDiv w:val="1"/>
      <w:marLeft w:val="0"/>
      <w:marRight w:val="0"/>
      <w:marTop w:val="0"/>
      <w:marBottom w:val="0"/>
      <w:divBdr>
        <w:top w:val="none" w:sz="0" w:space="0" w:color="auto"/>
        <w:left w:val="none" w:sz="0" w:space="0" w:color="auto"/>
        <w:bottom w:val="none" w:sz="0" w:space="0" w:color="auto"/>
        <w:right w:val="none" w:sz="0" w:space="0" w:color="auto"/>
      </w:divBdr>
    </w:div>
    <w:div w:id="75828947">
      <w:bodyDiv w:val="1"/>
      <w:marLeft w:val="0"/>
      <w:marRight w:val="0"/>
      <w:marTop w:val="0"/>
      <w:marBottom w:val="0"/>
      <w:divBdr>
        <w:top w:val="none" w:sz="0" w:space="0" w:color="auto"/>
        <w:left w:val="none" w:sz="0" w:space="0" w:color="auto"/>
        <w:bottom w:val="none" w:sz="0" w:space="0" w:color="auto"/>
        <w:right w:val="none" w:sz="0" w:space="0" w:color="auto"/>
      </w:divBdr>
    </w:div>
    <w:div w:id="99617168">
      <w:bodyDiv w:val="1"/>
      <w:marLeft w:val="0"/>
      <w:marRight w:val="0"/>
      <w:marTop w:val="0"/>
      <w:marBottom w:val="0"/>
      <w:divBdr>
        <w:top w:val="none" w:sz="0" w:space="0" w:color="auto"/>
        <w:left w:val="none" w:sz="0" w:space="0" w:color="auto"/>
        <w:bottom w:val="none" w:sz="0" w:space="0" w:color="auto"/>
        <w:right w:val="none" w:sz="0" w:space="0" w:color="auto"/>
      </w:divBdr>
    </w:div>
    <w:div w:id="195891402">
      <w:bodyDiv w:val="1"/>
      <w:marLeft w:val="0"/>
      <w:marRight w:val="0"/>
      <w:marTop w:val="0"/>
      <w:marBottom w:val="0"/>
      <w:divBdr>
        <w:top w:val="none" w:sz="0" w:space="0" w:color="auto"/>
        <w:left w:val="none" w:sz="0" w:space="0" w:color="auto"/>
        <w:bottom w:val="none" w:sz="0" w:space="0" w:color="auto"/>
        <w:right w:val="none" w:sz="0" w:space="0" w:color="auto"/>
      </w:divBdr>
    </w:div>
    <w:div w:id="257449388">
      <w:bodyDiv w:val="1"/>
      <w:marLeft w:val="0"/>
      <w:marRight w:val="0"/>
      <w:marTop w:val="0"/>
      <w:marBottom w:val="0"/>
      <w:divBdr>
        <w:top w:val="none" w:sz="0" w:space="0" w:color="auto"/>
        <w:left w:val="none" w:sz="0" w:space="0" w:color="auto"/>
        <w:bottom w:val="none" w:sz="0" w:space="0" w:color="auto"/>
        <w:right w:val="none" w:sz="0" w:space="0" w:color="auto"/>
      </w:divBdr>
    </w:div>
    <w:div w:id="635572925">
      <w:bodyDiv w:val="1"/>
      <w:marLeft w:val="0"/>
      <w:marRight w:val="0"/>
      <w:marTop w:val="0"/>
      <w:marBottom w:val="0"/>
      <w:divBdr>
        <w:top w:val="none" w:sz="0" w:space="0" w:color="auto"/>
        <w:left w:val="none" w:sz="0" w:space="0" w:color="auto"/>
        <w:bottom w:val="none" w:sz="0" w:space="0" w:color="auto"/>
        <w:right w:val="none" w:sz="0" w:space="0" w:color="auto"/>
      </w:divBdr>
    </w:div>
    <w:div w:id="1103842834">
      <w:bodyDiv w:val="1"/>
      <w:marLeft w:val="0"/>
      <w:marRight w:val="0"/>
      <w:marTop w:val="0"/>
      <w:marBottom w:val="0"/>
      <w:divBdr>
        <w:top w:val="none" w:sz="0" w:space="0" w:color="auto"/>
        <w:left w:val="none" w:sz="0" w:space="0" w:color="auto"/>
        <w:bottom w:val="none" w:sz="0" w:space="0" w:color="auto"/>
        <w:right w:val="none" w:sz="0" w:space="0" w:color="auto"/>
      </w:divBdr>
    </w:div>
    <w:div w:id="118412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8442C-46C6-4046-9DD6-1620443C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1305</Words>
  <Characters>7441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Segarizzi</dc:creator>
  <cp:keywords/>
  <dc:description/>
  <cp:lastModifiedBy>Massimiliano Segarizzi</cp:lastModifiedBy>
  <cp:revision>4</cp:revision>
  <dcterms:created xsi:type="dcterms:W3CDTF">2025-04-29T14:35:00Z</dcterms:created>
  <dcterms:modified xsi:type="dcterms:W3CDTF">2025-05-07T06:46:00Z</dcterms:modified>
</cp:coreProperties>
</file>