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C35" w:rsidRDefault="00616C35" w:rsidP="00616C35">
      <w:pPr>
        <w:jc w:val="center"/>
        <w:rPr>
          <w:rFonts w:ascii="Arial" w:hAnsi="Arial" w:cs="Arial"/>
        </w:rPr>
      </w:pPr>
    </w:p>
    <w:p w:rsidR="00616C35" w:rsidRDefault="00616C35" w:rsidP="00616C35">
      <w:pPr>
        <w:spacing w:line="360" w:lineRule="auto"/>
        <w:rPr>
          <w:b/>
          <w:color w:val="FF0000"/>
          <w:u w:val="single"/>
        </w:rPr>
      </w:pPr>
      <w:r>
        <w:rPr>
          <w:b/>
          <w:color w:val="FF0000"/>
          <w:u w:val="single"/>
        </w:rPr>
        <w:t>MODELLO 3.0</w:t>
      </w:r>
    </w:p>
    <w:p w:rsidR="00616C35" w:rsidRDefault="00616C35" w:rsidP="00616C35">
      <w:pPr>
        <w:jc w:val="center"/>
        <w:rPr>
          <w:rFonts w:ascii="Arial" w:hAnsi="Arial" w:cs="Arial"/>
          <w:b/>
          <w:noProof/>
        </w:rPr>
      </w:pPr>
    </w:p>
    <w:p w:rsidR="00616C35" w:rsidRDefault="00616C35" w:rsidP="00616C35">
      <w:pPr>
        <w:jc w:val="center"/>
        <w:rPr>
          <w:rFonts w:ascii="Arial" w:hAnsi="Arial" w:cs="Arial"/>
          <w:b/>
          <w:noProof/>
        </w:rPr>
      </w:pPr>
    </w:p>
    <w:p w:rsidR="00616C35" w:rsidRDefault="00616C35" w:rsidP="00616C35">
      <w:pPr>
        <w:jc w:val="center"/>
      </w:pPr>
      <w:r>
        <w:rPr>
          <w:rFonts w:ascii="Arial" w:hAnsi="Arial" w:cs="Arial"/>
          <w:b/>
          <w:noProof/>
        </w:rPr>
        <w:drawing>
          <wp:inline distT="0" distB="0" distL="0" distR="0">
            <wp:extent cx="762000" cy="857250"/>
            <wp:effectExtent l="0" t="0" r="0" b="0"/>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857250"/>
                    </a:xfrm>
                    <a:prstGeom prst="rect">
                      <a:avLst/>
                    </a:prstGeom>
                    <a:noFill/>
                    <a:ln>
                      <a:noFill/>
                    </a:ln>
                  </pic:spPr>
                </pic:pic>
              </a:graphicData>
            </a:graphic>
          </wp:inline>
        </w:drawing>
      </w:r>
    </w:p>
    <w:p w:rsidR="00616C35" w:rsidRDefault="00616C35" w:rsidP="00616C35">
      <w:pPr>
        <w:jc w:val="center"/>
      </w:pPr>
    </w:p>
    <w:p w:rsidR="00616C35" w:rsidRDefault="00616C35" w:rsidP="00616C35">
      <w:pPr>
        <w:jc w:val="center"/>
        <w:rPr>
          <w:sz w:val="32"/>
          <w:szCs w:val="32"/>
        </w:rPr>
      </w:pPr>
      <w:r>
        <w:rPr>
          <w:sz w:val="32"/>
          <w:szCs w:val="32"/>
        </w:rPr>
        <w:t xml:space="preserve">Tribunale di Bolzano - Landesgericht Bozen </w:t>
      </w:r>
    </w:p>
    <w:p w:rsidR="00616C35" w:rsidRDefault="00616C35" w:rsidP="00616C35">
      <w:pPr>
        <w:jc w:val="center"/>
      </w:pPr>
    </w:p>
    <w:p w:rsidR="00616C35" w:rsidRDefault="00616C35" w:rsidP="00616C35">
      <w:pPr>
        <w:pStyle w:val="formul11"/>
        <w:spacing w:before="0" w:line="360" w:lineRule="auto"/>
        <w:jc w:val="left"/>
        <w:rPr>
          <w:b/>
          <w:bCs/>
          <w:sz w:val="24"/>
          <w:szCs w:val="24"/>
          <w:lang w:val="it-IT"/>
        </w:rPr>
      </w:pPr>
    </w:p>
    <w:p w:rsidR="00616C35" w:rsidRDefault="00616C35" w:rsidP="00616C35">
      <w:pPr>
        <w:pStyle w:val="formul11"/>
        <w:spacing w:before="0" w:line="360" w:lineRule="auto"/>
        <w:jc w:val="left"/>
        <w:rPr>
          <w:b/>
          <w:bCs/>
          <w:sz w:val="24"/>
          <w:szCs w:val="24"/>
          <w:lang w:val="it-IT"/>
        </w:rPr>
      </w:pPr>
      <w:r>
        <w:rPr>
          <w:b/>
          <w:bCs/>
          <w:sz w:val="24"/>
          <w:szCs w:val="24"/>
          <w:lang w:val="it-IT"/>
        </w:rPr>
        <w:t>RG.E. N. __________/___________</w:t>
      </w:r>
    </w:p>
    <w:p w:rsidR="00616C35" w:rsidRDefault="00616C35" w:rsidP="00616C35">
      <w:pPr>
        <w:pStyle w:val="formul11"/>
        <w:spacing w:before="0" w:line="360" w:lineRule="auto"/>
        <w:rPr>
          <w:b/>
          <w:bCs/>
          <w:sz w:val="24"/>
          <w:szCs w:val="24"/>
          <w:lang w:val="it-IT"/>
        </w:rPr>
      </w:pPr>
      <w:r>
        <w:rPr>
          <w:b/>
          <w:bCs/>
          <w:sz w:val="24"/>
          <w:szCs w:val="24"/>
          <w:lang w:val="it-IT"/>
        </w:rPr>
        <w:t xml:space="preserve">VERBALE DI UDIENZA </w:t>
      </w:r>
      <w:r>
        <w:rPr>
          <w:b/>
          <w:bCs/>
          <w:i/>
          <w:iCs/>
          <w:sz w:val="24"/>
          <w:szCs w:val="24"/>
          <w:lang w:val="it-IT"/>
        </w:rPr>
        <w:t>EX</w:t>
      </w:r>
      <w:r>
        <w:rPr>
          <w:b/>
          <w:bCs/>
          <w:sz w:val="24"/>
          <w:szCs w:val="24"/>
          <w:lang w:val="it-IT"/>
        </w:rPr>
        <w:t xml:space="preserve"> ART. </w:t>
      </w:r>
      <w:smartTag w:uri="urn:schemas-microsoft-com:office:smarttags" w:element="metricconverter">
        <w:smartTagPr>
          <w:attr w:name="ProductID" w:val="569 C"/>
        </w:smartTagPr>
        <w:r>
          <w:rPr>
            <w:b/>
            <w:bCs/>
            <w:sz w:val="24"/>
            <w:szCs w:val="24"/>
            <w:lang w:val="it-IT"/>
          </w:rPr>
          <w:t>569 C</w:t>
        </w:r>
      </w:smartTag>
      <w:r>
        <w:rPr>
          <w:b/>
          <w:bCs/>
          <w:sz w:val="24"/>
          <w:szCs w:val="24"/>
          <w:lang w:val="it-IT"/>
        </w:rPr>
        <w:t>.P.C.</w:t>
      </w:r>
    </w:p>
    <w:p w:rsidR="00616C35" w:rsidRDefault="00616C35" w:rsidP="00616C35">
      <w:pPr>
        <w:pStyle w:val="formul12"/>
        <w:spacing w:before="0" w:line="360" w:lineRule="auto"/>
        <w:rPr>
          <w:sz w:val="24"/>
          <w:szCs w:val="24"/>
          <w:lang w:val="it-IT"/>
        </w:rPr>
      </w:pPr>
      <w:r>
        <w:rPr>
          <w:sz w:val="24"/>
          <w:szCs w:val="24"/>
          <w:lang w:val="it-IT"/>
        </w:rPr>
        <w:t xml:space="preserve">Oggi </w:t>
      </w:r>
      <w:r>
        <w:rPr>
          <w:rStyle w:val="Testosegnaposto"/>
          <w:sz w:val="24"/>
          <w:szCs w:val="24"/>
          <w:lang w:val="it-IT"/>
        </w:rPr>
        <w:t>Fare clic qui per immettere testo.</w:t>
      </w:r>
      <w:r>
        <w:rPr>
          <w:sz w:val="24"/>
          <w:szCs w:val="24"/>
          <w:lang w:val="it-IT"/>
        </w:rPr>
        <w:t xml:space="preserve"> innanzi al G.E. </w:t>
      </w:r>
      <w:proofErr w:type="gramStart"/>
      <w:r>
        <w:rPr>
          <w:sz w:val="24"/>
          <w:szCs w:val="24"/>
          <w:lang w:val="it-IT"/>
        </w:rPr>
        <w:t>Dr .</w:t>
      </w:r>
      <w:r>
        <w:rPr>
          <w:rStyle w:val="Testosegnaposto"/>
          <w:sz w:val="24"/>
          <w:szCs w:val="24"/>
          <w:lang w:val="it-IT"/>
        </w:rPr>
        <w:t>Fare</w:t>
      </w:r>
      <w:proofErr w:type="gramEnd"/>
      <w:r>
        <w:rPr>
          <w:rStyle w:val="Testosegnaposto"/>
          <w:sz w:val="24"/>
          <w:szCs w:val="24"/>
          <w:lang w:val="it-IT"/>
        </w:rPr>
        <w:t xml:space="preserve"> clic qui per immettere testo.</w:t>
      </w:r>
      <w:r>
        <w:rPr>
          <w:sz w:val="24"/>
          <w:szCs w:val="24"/>
          <w:lang w:val="it-IT"/>
        </w:rPr>
        <w:t xml:space="preserve"> compaiono: </w:t>
      </w:r>
    </w:p>
    <w:p w:rsidR="00616C35" w:rsidRDefault="00616C35" w:rsidP="00616C35">
      <w:pPr>
        <w:pStyle w:val="formul13"/>
        <w:spacing w:line="360" w:lineRule="auto"/>
        <w:rPr>
          <w:sz w:val="24"/>
          <w:szCs w:val="24"/>
          <w:lang w:val="it-IT"/>
        </w:rPr>
      </w:pPr>
      <w:r>
        <w:rPr>
          <w:sz w:val="24"/>
          <w:szCs w:val="24"/>
          <w:lang w:val="it-IT"/>
        </w:rPr>
        <w:t xml:space="preserve">l’avv. </w:t>
      </w:r>
      <w:r>
        <w:rPr>
          <w:rStyle w:val="Testosegnaposto"/>
          <w:sz w:val="24"/>
          <w:szCs w:val="24"/>
          <w:lang w:val="it-IT"/>
        </w:rPr>
        <w:t>Fare clic qui per immettere testo.</w:t>
      </w:r>
      <w:r>
        <w:rPr>
          <w:sz w:val="24"/>
          <w:szCs w:val="24"/>
          <w:lang w:val="it-IT"/>
        </w:rPr>
        <w:t xml:space="preserve"> per il creditore procedente </w:t>
      </w:r>
      <w:r>
        <w:rPr>
          <w:rStyle w:val="Testosegnaposto"/>
          <w:sz w:val="24"/>
          <w:szCs w:val="24"/>
          <w:lang w:val="it-IT"/>
        </w:rPr>
        <w:t>Fare clic qui per immettere testo.</w:t>
      </w:r>
    </w:p>
    <w:p w:rsidR="00616C35" w:rsidRDefault="00616C35" w:rsidP="00616C35">
      <w:pPr>
        <w:pStyle w:val="formul13"/>
        <w:spacing w:line="360" w:lineRule="auto"/>
        <w:rPr>
          <w:sz w:val="24"/>
          <w:szCs w:val="24"/>
          <w:lang w:val="it-IT"/>
        </w:rPr>
      </w:pPr>
      <w:r>
        <w:rPr>
          <w:sz w:val="24"/>
          <w:szCs w:val="24"/>
          <w:lang w:val="it-IT"/>
        </w:rPr>
        <w:t xml:space="preserve">l’avv. </w:t>
      </w:r>
      <w:r>
        <w:rPr>
          <w:rStyle w:val="Testosegnaposto"/>
          <w:sz w:val="24"/>
          <w:szCs w:val="24"/>
          <w:lang w:val="it-IT"/>
        </w:rPr>
        <w:t>Fare clic qui per immettere testo.</w:t>
      </w:r>
      <w:r>
        <w:rPr>
          <w:sz w:val="24"/>
          <w:szCs w:val="24"/>
          <w:lang w:val="it-IT"/>
        </w:rPr>
        <w:t xml:space="preserve"> per il creditore intervenuto </w:t>
      </w:r>
      <w:r>
        <w:rPr>
          <w:rStyle w:val="Testosegnaposto"/>
          <w:sz w:val="24"/>
          <w:szCs w:val="24"/>
          <w:lang w:val="it-IT"/>
        </w:rPr>
        <w:t>Fare clic qui per immettere testo.</w:t>
      </w:r>
    </w:p>
    <w:p w:rsidR="00616C35" w:rsidRDefault="00616C35" w:rsidP="00616C35">
      <w:pPr>
        <w:pStyle w:val="formul13"/>
        <w:spacing w:line="360" w:lineRule="auto"/>
        <w:rPr>
          <w:sz w:val="24"/>
          <w:szCs w:val="24"/>
          <w:lang w:val="it-IT"/>
        </w:rPr>
      </w:pPr>
      <w:r>
        <w:rPr>
          <w:sz w:val="24"/>
          <w:szCs w:val="24"/>
          <w:lang w:val="it-IT"/>
        </w:rPr>
        <w:t xml:space="preserve">l’avv. </w:t>
      </w:r>
      <w:r>
        <w:rPr>
          <w:rStyle w:val="Testosegnaposto"/>
          <w:sz w:val="24"/>
          <w:szCs w:val="24"/>
          <w:lang w:val="it-IT"/>
        </w:rPr>
        <w:t>Fare clic qui per immettere testo.</w:t>
      </w:r>
      <w:r>
        <w:rPr>
          <w:sz w:val="24"/>
          <w:szCs w:val="24"/>
          <w:lang w:val="it-IT"/>
        </w:rPr>
        <w:t xml:space="preserve"> per il creditore intervenuto </w:t>
      </w:r>
      <w:r>
        <w:rPr>
          <w:rStyle w:val="Testosegnaposto"/>
          <w:sz w:val="24"/>
          <w:szCs w:val="24"/>
          <w:lang w:val="it-IT"/>
        </w:rPr>
        <w:t>Fare clic qui per immettere testo.</w:t>
      </w:r>
    </w:p>
    <w:p w:rsidR="00616C35" w:rsidRDefault="00616C35" w:rsidP="00616C35">
      <w:pPr>
        <w:pStyle w:val="formul13"/>
        <w:spacing w:line="360" w:lineRule="auto"/>
        <w:rPr>
          <w:sz w:val="24"/>
          <w:szCs w:val="24"/>
          <w:lang w:val="it-IT"/>
        </w:rPr>
      </w:pPr>
      <w:r>
        <w:rPr>
          <w:sz w:val="24"/>
          <w:szCs w:val="24"/>
          <w:lang w:val="it-IT"/>
        </w:rPr>
        <w:t xml:space="preserve">l’avv. </w:t>
      </w:r>
      <w:r>
        <w:rPr>
          <w:rStyle w:val="Testosegnaposto"/>
          <w:sz w:val="24"/>
          <w:szCs w:val="24"/>
          <w:lang w:val="it-IT"/>
        </w:rPr>
        <w:t>Fare clic qui per immettere testo.</w:t>
      </w:r>
      <w:r>
        <w:rPr>
          <w:sz w:val="24"/>
          <w:szCs w:val="24"/>
          <w:lang w:val="it-IT"/>
        </w:rPr>
        <w:t xml:space="preserve"> per il creditore intervenuto </w:t>
      </w:r>
      <w:r>
        <w:rPr>
          <w:rStyle w:val="Testosegnaposto"/>
          <w:sz w:val="24"/>
          <w:szCs w:val="24"/>
          <w:lang w:val="it-IT"/>
        </w:rPr>
        <w:t>Fare clic qui per immettere testo.</w:t>
      </w:r>
    </w:p>
    <w:p w:rsidR="00616C35" w:rsidRDefault="00616C35" w:rsidP="00616C35">
      <w:pPr>
        <w:pStyle w:val="formul13"/>
        <w:spacing w:line="360" w:lineRule="auto"/>
        <w:rPr>
          <w:sz w:val="24"/>
          <w:szCs w:val="24"/>
          <w:lang w:val="it-IT"/>
        </w:rPr>
      </w:pPr>
      <w:r>
        <w:rPr>
          <w:sz w:val="24"/>
          <w:szCs w:val="24"/>
          <w:lang w:val="it-IT"/>
        </w:rPr>
        <w:t xml:space="preserve">l’avv. </w:t>
      </w:r>
      <w:r>
        <w:rPr>
          <w:rStyle w:val="Testosegnaposto"/>
          <w:sz w:val="24"/>
          <w:szCs w:val="24"/>
          <w:lang w:val="it-IT"/>
        </w:rPr>
        <w:t>Fare clic qui per immettere testo.</w:t>
      </w:r>
      <w:r>
        <w:rPr>
          <w:sz w:val="24"/>
          <w:szCs w:val="24"/>
          <w:lang w:val="it-IT"/>
        </w:rPr>
        <w:t xml:space="preserve"> per il creditore intervenuto </w:t>
      </w:r>
      <w:r>
        <w:rPr>
          <w:rStyle w:val="Testosegnaposto"/>
          <w:sz w:val="24"/>
          <w:szCs w:val="24"/>
          <w:lang w:val="it-IT"/>
        </w:rPr>
        <w:t>Fare clic qui per immettere testo.</w:t>
      </w:r>
    </w:p>
    <w:p w:rsidR="00616C35" w:rsidRDefault="00616C35" w:rsidP="00616C35">
      <w:pPr>
        <w:pStyle w:val="formul13"/>
        <w:spacing w:line="360" w:lineRule="auto"/>
        <w:rPr>
          <w:sz w:val="24"/>
          <w:szCs w:val="24"/>
          <w:lang w:val="it-IT"/>
        </w:rPr>
      </w:pPr>
      <w:r>
        <w:rPr>
          <w:sz w:val="24"/>
          <w:szCs w:val="24"/>
          <w:lang w:val="it-IT"/>
        </w:rPr>
        <w:t xml:space="preserve">l’avv. </w:t>
      </w:r>
      <w:r>
        <w:rPr>
          <w:rStyle w:val="Testosegnaposto"/>
          <w:sz w:val="24"/>
          <w:szCs w:val="24"/>
          <w:lang w:val="it-IT"/>
        </w:rPr>
        <w:t>Fare clic qui per immettere testo.</w:t>
      </w:r>
      <w:r>
        <w:rPr>
          <w:sz w:val="24"/>
          <w:szCs w:val="24"/>
          <w:lang w:val="it-IT"/>
        </w:rPr>
        <w:t xml:space="preserve"> per il creditore intervenuto </w:t>
      </w:r>
      <w:r>
        <w:rPr>
          <w:rStyle w:val="Testosegnaposto"/>
          <w:sz w:val="24"/>
          <w:szCs w:val="24"/>
          <w:lang w:val="it-IT"/>
        </w:rPr>
        <w:t>Fare clic qui per immettere testo.</w:t>
      </w:r>
    </w:p>
    <w:p w:rsidR="00616C35" w:rsidRDefault="00616C35" w:rsidP="00616C35">
      <w:pPr>
        <w:pStyle w:val="formul13"/>
        <w:spacing w:line="360" w:lineRule="auto"/>
        <w:rPr>
          <w:sz w:val="24"/>
          <w:szCs w:val="24"/>
          <w:lang w:val="it-IT"/>
        </w:rPr>
      </w:pPr>
    </w:p>
    <w:p w:rsidR="00616C35" w:rsidRDefault="00616C35" w:rsidP="00616C35">
      <w:pPr>
        <w:pStyle w:val="formul13"/>
        <w:spacing w:line="360" w:lineRule="auto"/>
        <w:rPr>
          <w:sz w:val="24"/>
          <w:szCs w:val="24"/>
          <w:lang w:val="it-IT"/>
        </w:rPr>
      </w:pPr>
      <w:r>
        <w:rPr>
          <w:sz w:val="24"/>
          <w:szCs w:val="24"/>
          <w:lang w:val="it-IT"/>
        </w:rPr>
        <w:t xml:space="preserve">per il debitore </w:t>
      </w:r>
      <w:r>
        <w:rPr>
          <w:rStyle w:val="Testosegnaposto"/>
          <w:sz w:val="24"/>
          <w:szCs w:val="24"/>
          <w:lang w:val="it-IT"/>
        </w:rPr>
        <w:t>Fare clic qui per immettere testo.</w:t>
      </w:r>
    </w:p>
    <w:p w:rsidR="00616C35" w:rsidRDefault="00616C35" w:rsidP="00616C35">
      <w:pPr>
        <w:pStyle w:val="formul13"/>
        <w:spacing w:line="360" w:lineRule="auto"/>
        <w:rPr>
          <w:sz w:val="24"/>
          <w:szCs w:val="24"/>
          <w:lang w:val="it-IT"/>
        </w:rPr>
      </w:pPr>
      <w:r>
        <w:rPr>
          <w:sz w:val="24"/>
          <w:szCs w:val="24"/>
          <w:lang w:val="it-IT"/>
        </w:rPr>
        <w:t xml:space="preserve">per il comproprietario </w:t>
      </w:r>
      <w:r>
        <w:rPr>
          <w:rStyle w:val="Testosegnaposto"/>
          <w:sz w:val="24"/>
          <w:szCs w:val="24"/>
          <w:lang w:val="it-IT"/>
        </w:rPr>
        <w:t>Fare clic qui per immettere testo.</w:t>
      </w:r>
    </w:p>
    <w:p w:rsidR="00616C35" w:rsidRDefault="00616C35" w:rsidP="00616C35">
      <w:pPr>
        <w:pStyle w:val="formul13"/>
        <w:spacing w:line="360" w:lineRule="auto"/>
        <w:rPr>
          <w:sz w:val="24"/>
          <w:szCs w:val="24"/>
          <w:lang w:val="it-IT"/>
        </w:rPr>
      </w:pPr>
    </w:p>
    <w:p w:rsidR="00616C35" w:rsidRDefault="00616C35" w:rsidP="00616C35">
      <w:pPr>
        <w:pStyle w:val="formul13"/>
        <w:spacing w:line="360" w:lineRule="auto"/>
        <w:rPr>
          <w:sz w:val="24"/>
          <w:szCs w:val="24"/>
          <w:lang w:val="it-IT"/>
        </w:rPr>
      </w:pPr>
      <w:r>
        <w:rPr>
          <w:sz w:val="24"/>
          <w:szCs w:val="24"/>
          <w:lang w:val="it-IT"/>
        </w:rPr>
        <w:t xml:space="preserve">E’ presente il Custode Giudiziario nominato </w:t>
      </w:r>
      <w:r>
        <w:rPr>
          <w:rStyle w:val="Testosegnaposto"/>
          <w:sz w:val="24"/>
          <w:szCs w:val="24"/>
          <w:lang w:val="it-IT"/>
        </w:rPr>
        <w:t>Fare clic qui per immettere testo.</w:t>
      </w:r>
    </w:p>
    <w:p w:rsidR="00616C35" w:rsidRDefault="00616C35" w:rsidP="00616C35">
      <w:pPr>
        <w:pStyle w:val="formul13"/>
        <w:spacing w:line="360" w:lineRule="auto"/>
        <w:rPr>
          <w:sz w:val="24"/>
          <w:szCs w:val="24"/>
          <w:lang w:val="it-IT"/>
        </w:rPr>
      </w:pPr>
    </w:p>
    <w:p w:rsidR="00616C35" w:rsidRDefault="00616C35" w:rsidP="00616C35">
      <w:pPr>
        <w:pStyle w:val="formul13"/>
        <w:spacing w:line="360" w:lineRule="auto"/>
        <w:rPr>
          <w:sz w:val="24"/>
          <w:szCs w:val="24"/>
          <w:lang w:val="it-IT"/>
        </w:rPr>
      </w:pPr>
      <w:r>
        <w:rPr>
          <w:sz w:val="24"/>
          <w:szCs w:val="24"/>
          <w:lang w:val="it-IT"/>
        </w:rPr>
        <w:t xml:space="preserve">Vengono verificate le notifiche </w:t>
      </w:r>
      <w:r>
        <w:rPr>
          <w:i/>
          <w:iCs/>
          <w:sz w:val="24"/>
          <w:szCs w:val="24"/>
          <w:lang w:val="it-IT"/>
        </w:rPr>
        <w:t>ex</w:t>
      </w:r>
      <w:r>
        <w:rPr>
          <w:sz w:val="24"/>
          <w:szCs w:val="24"/>
          <w:lang w:val="it-IT"/>
        </w:rPr>
        <w:t xml:space="preserve"> art. 569 c.p.c. come segue:</w:t>
      </w:r>
    </w:p>
    <w:p w:rsidR="00616C35" w:rsidRDefault="00616C35" w:rsidP="00616C35">
      <w:pPr>
        <w:pStyle w:val="formul13"/>
        <w:spacing w:line="360" w:lineRule="auto"/>
        <w:rPr>
          <w:sz w:val="24"/>
          <w:szCs w:val="24"/>
          <w:lang w:val="it-IT"/>
        </w:rPr>
      </w:pPr>
    </w:p>
    <w:p w:rsidR="00616C35" w:rsidRDefault="00616C35" w:rsidP="00616C35">
      <w:pPr>
        <w:pStyle w:val="formul13"/>
        <w:spacing w:line="360" w:lineRule="auto"/>
        <w:rPr>
          <w:sz w:val="24"/>
          <w:szCs w:val="24"/>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992"/>
        <w:gridCol w:w="1803"/>
        <w:gridCol w:w="1804"/>
      </w:tblGrid>
      <w:tr w:rsidR="00616C35" w:rsidTr="00616C35">
        <w:tc>
          <w:tcPr>
            <w:tcW w:w="1843" w:type="dxa"/>
            <w:tcBorders>
              <w:top w:val="single" w:sz="4" w:space="0" w:color="auto"/>
              <w:left w:val="single" w:sz="4" w:space="0" w:color="auto"/>
              <w:bottom w:val="single" w:sz="4" w:space="0" w:color="auto"/>
              <w:right w:val="single" w:sz="4" w:space="0" w:color="auto"/>
            </w:tcBorders>
            <w:vAlign w:val="center"/>
            <w:hideMark/>
          </w:tcPr>
          <w:p w:rsidR="00616C35" w:rsidRDefault="00616C35">
            <w:pPr>
              <w:pStyle w:val="inizio1"/>
              <w:widowControl/>
              <w:spacing w:line="360" w:lineRule="auto"/>
              <w:jc w:val="center"/>
              <w:rPr>
                <w:b w:val="0"/>
                <w:bCs w:val="0"/>
                <w:i/>
                <w:sz w:val="24"/>
                <w:szCs w:val="24"/>
                <w:u w:val="single"/>
                <w:lang w:val="it-IT"/>
              </w:rPr>
            </w:pPr>
            <w:r>
              <w:rPr>
                <w:b w:val="0"/>
                <w:bCs w:val="0"/>
                <w:i/>
                <w:sz w:val="24"/>
                <w:szCs w:val="24"/>
                <w:u w:val="single"/>
                <w:lang w:val="it-IT"/>
              </w:rPr>
              <w:t>Destinatario</w:t>
            </w:r>
          </w:p>
        </w:tc>
        <w:tc>
          <w:tcPr>
            <w:tcW w:w="992" w:type="dxa"/>
            <w:tcBorders>
              <w:top w:val="single" w:sz="4" w:space="0" w:color="auto"/>
              <w:left w:val="single" w:sz="4" w:space="0" w:color="auto"/>
              <w:bottom w:val="single" w:sz="4" w:space="0" w:color="auto"/>
              <w:right w:val="single" w:sz="4" w:space="0" w:color="auto"/>
            </w:tcBorders>
            <w:vAlign w:val="center"/>
            <w:hideMark/>
          </w:tcPr>
          <w:p w:rsidR="00616C35" w:rsidRDefault="00616C35">
            <w:pPr>
              <w:pStyle w:val="inizio1"/>
              <w:widowControl/>
              <w:spacing w:line="360" w:lineRule="auto"/>
              <w:jc w:val="center"/>
              <w:rPr>
                <w:b w:val="0"/>
                <w:bCs w:val="0"/>
                <w:i/>
                <w:sz w:val="24"/>
                <w:szCs w:val="24"/>
                <w:u w:val="single"/>
                <w:lang w:val="it-IT"/>
              </w:rPr>
            </w:pPr>
            <w:r>
              <w:rPr>
                <w:b w:val="0"/>
                <w:bCs w:val="0"/>
                <w:i/>
                <w:sz w:val="24"/>
                <w:szCs w:val="24"/>
                <w:u w:val="single"/>
                <w:lang w:val="it-IT"/>
              </w:rPr>
              <w:t>Costituito</w:t>
            </w:r>
          </w:p>
          <w:p w:rsidR="00616C35" w:rsidRDefault="00616C35">
            <w:pPr>
              <w:pStyle w:val="inizio1"/>
              <w:widowControl/>
              <w:spacing w:line="360" w:lineRule="auto"/>
              <w:jc w:val="center"/>
              <w:rPr>
                <w:b w:val="0"/>
                <w:bCs w:val="0"/>
                <w:i/>
                <w:sz w:val="24"/>
                <w:szCs w:val="24"/>
                <w:u w:val="single"/>
                <w:lang w:val="it-IT"/>
              </w:rPr>
            </w:pPr>
            <w:r>
              <w:rPr>
                <w:b w:val="0"/>
                <w:bCs w:val="0"/>
                <w:i/>
                <w:sz w:val="24"/>
                <w:szCs w:val="24"/>
                <w:u w:val="single"/>
                <w:lang w:val="it-IT"/>
              </w:rPr>
              <w:t>(si/no)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16C35" w:rsidRDefault="00616C35">
            <w:pPr>
              <w:pStyle w:val="inizio1"/>
              <w:widowControl/>
              <w:spacing w:line="360" w:lineRule="auto"/>
              <w:jc w:val="center"/>
              <w:rPr>
                <w:b w:val="0"/>
                <w:bCs w:val="0"/>
                <w:i/>
                <w:sz w:val="24"/>
                <w:szCs w:val="24"/>
                <w:u w:val="single"/>
                <w:lang w:val="it-IT"/>
              </w:rPr>
            </w:pPr>
            <w:r>
              <w:rPr>
                <w:b w:val="0"/>
                <w:bCs w:val="0"/>
                <w:i/>
                <w:sz w:val="24"/>
                <w:szCs w:val="24"/>
                <w:u w:val="single"/>
                <w:lang w:val="it-IT"/>
              </w:rPr>
              <w:t>Data di notifica decreto fissazione udienza</w:t>
            </w:r>
          </w:p>
        </w:tc>
        <w:tc>
          <w:tcPr>
            <w:tcW w:w="1804" w:type="dxa"/>
            <w:tcBorders>
              <w:top w:val="single" w:sz="4" w:space="0" w:color="auto"/>
              <w:left w:val="single" w:sz="4" w:space="0" w:color="auto"/>
              <w:bottom w:val="single" w:sz="4" w:space="0" w:color="auto"/>
              <w:right w:val="single" w:sz="4" w:space="0" w:color="auto"/>
            </w:tcBorders>
            <w:vAlign w:val="center"/>
            <w:hideMark/>
          </w:tcPr>
          <w:p w:rsidR="00616C35" w:rsidRDefault="00616C35">
            <w:pPr>
              <w:pStyle w:val="inizio1"/>
              <w:widowControl/>
              <w:spacing w:line="360" w:lineRule="auto"/>
              <w:jc w:val="center"/>
              <w:rPr>
                <w:b w:val="0"/>
                <w:bCs w:val="0"/>
                <w:i/>
                <w:sz w:val="24"/>
                <w:szCs w:val="24"/>
                <w:u w:val="single"/>
                <w:lang w:val="it-IT"/>
              </w:rPr>
            </w:pPr>
            <w:r>
              <w:rPr>
                <w:b w:val="0"/>
                <w:bCs w:val="0"/>
                <w:i/>
                <w:sz w:val="24"/>
                <w:szCs w:val="24"/>
                <w:u w:val="single"/>
                <w:lang w:val="it-IT"/>
              </w:rPr>
              <w:t xml:space="preserve">Modalità di notifica decreto fissazione udienza </w:t>
            </w:r>
            <w:r>
              <w:rPr>
                <w:b w:val="0"/>
                <w:bCs w:val="0"/>
                <w:i/>
                <w:sz w:val="24"/>
                <w:szCs w:val="24"/>
                <w:u w:val="single"/>
                <w:lang w:val="it-IT"/>
              </w:rPr>
              <w:lastRenderedPageBreak/>
              <w:t xml:space="preserve">(es. </w:t>
            </w:r>
            <w:smartTag w:uri="urn:schemas-microsoft-com:office:smarttags" w:element="metricconverter">
              <w:smartTagPr>
                <w:attr w:name="ProductID" w:val="140, a"/>
              </w:smartTagPr>
              <w:r>
                <w:rPr>
                  <w:b w:val="0"/>
                  <w:bCs w:val="0"/>
                  <w:i/>
                  <w:sz w:val="24"/>
                  <w:szCs w:val="24"/>
                  <w:u w:val="single"/>
                  <w:lang w:val="it-IT"/>
                </w:rPr>
                <w:t>140, a</w:t>
              </w:r>
            </w:smartTag>
            <w:r>
              <w:rPr>
                <w:b w:val="0"/>
                <w:bCs w:val="0"/>
                <w:i/>
                <w:sz w:val="24"/>
                <w:szCs w:val="24"/>
                <w:u w:val="single"/>
                <w:lang w:val="it-IT"/>
              </w:rPr>
              <w:t xml:space="preserve"> mani, ecc.)</w:t>
            </w:r>
          </w:p>
        </w:tc>
      </w:tr>
      <w:tr w:rsidR="00616C35" w:rsidTr="00616C35">
        <w:trPr>
          <w:trHeight w:val="340"/>
        </w:trPr>
        <w:tc>
          <w:tcPr>
            <w:tcW w:w="1843"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jc w:val="left"/>
              <w:rPr>
                <w:b w:val="0"/>
                <w:bCs w:val="0"/>
                <w:i/>
                <w:sz w:val="24"/>
                <w:szCs w:val="24"/>
                <w:lang w:val="it-IT"/>
              </w:rPr>
            </w:pPr>
            <w:r>
              <w:rPr>
                <w:b w:val="0"/>
                <w:bCs w:val="0"/>
                <w:i/>
                <w:sz w:val="24"/>
                <w:szCs w:val="24"/>
                <w:lang w:val="it-IT"/>
              </w:rPr>
              <w:lastRenderedPageBreak/>
              <w:t>Comproprietario/</w:t>
            </w:r>
            <w:proofErr w:type="spellStart"/>
            <w:r>
              <w:rPr>
                <w:b w:val="0"/>
                <w:bCs w:val="0"/>
                <w:i/>
                <w:sz w:val="24"/>
                <w:szCs w:val="24"/>
                <w:lang w:val="it-IT"/>
              </w:rPr>
              <w:t>inome</w:t>
            </w:r>
            <w:proofErr w:type="spellEnd"/>
          </w:p>
          <w:p w:rsidR="00616C35" w:rsidRDefault="00616C35">
            <w:pPr>
              <w:pStyle w:val="inizio1"/>
              <w:widowControl/>
              <w:spacing w:line="360" w:lineRule="auto"/>
              <w:jc w:val="left"/>
              <w:rPr>
                <w:b w:val="0"/>
                <w:bCs w:val="0"/>
                <w:sz w:val="24"/>
                <w:szCs w:val="24"/>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rPr>
                <w:b w:val="0"/>
                <w:bCs w:val="0"/>
                <w:sz w:val="24"/>
                <w:szCs w:val="24"/>
                <w:lang w:val="it-IT"/>
              </w:rPr>
            </w:pPr>
          </w:p>
        </w:tc>
        <w:tc>
          <w:tcPr>
            <w:tcW w:w="1803"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jc w:val="center"/>
              <w:rPr>
                <w:b w:val="0"/>
                <w:bCs w:val="0"/>
                <w:sz w:val="24"/>
                <w:szCs w:val="24"/>
                <w:lang w:val="it-IT"/>
              </w:rPr>
            </w:pPr>
          </w:p>
        </w:tc>
        <w:tc>
          <w:tcPr>
            <w:tcW w:w="1804"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jc w:val="center"/>
              <w:rPr>
                <w:b w:val="0"/>
                <w:bCs w:val="0"/>
                <w:sz w:val="24"/>
                <w:szCs w:val="24"/>
                <w:lang w:val="it-IT"/>
              </w:rPr>
            </w:pPr>
          </w:p>
        </w:tc>
      </w:tr>
      <w:tr w:rsidR="00616C35" w:rsidTr="00616C35">
        <w:trPr>
          <w:trHeight w:val="340"/>
        </w:trPr>
        <w:tc>
          <w:tcPr>
            <w:tcW w:w="1843"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jc w:val="left"/>
              <w:rPr>
                <w:b w:val="0"/>
                <w:bCs w:val="0"/>
                <w:sz w:val="24"/>
                <w:szCs w:val="24"/>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rPr>
                <w:b w:val="0"/>
                <w:bCs w:val="0"/>
                <w:sz w:val="24"/>
                <w:szCs w:val="24"/>
                <w:lang w:val="it-IT"/>
              </w:rPr>
            </w:pPr>
          </w:p>
        </w:tc>
        <w:tc>
          <w:tcPr>
            <w:tcW w:w="1803"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jc w:val="center"/>
              <w:rPr>
                <w:b w:val="0"/>
                <w:bCs w:val="0"/>
                <w:sz w:val="24"/>
                <w:szCs w:val="24"/>
                <w:lang w:val="it-IT"/>
              </w:rPr>
            </w:pPr>
          </w:p>
        </w:tc>
        <w:tc>
          <w:tcPr>
            <w:tcW w:w="1804"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jc w:val="center"/>
              <w:rPr>
                <w:b w:val="0"/>
                <w:bCs w:val="0"/>
                <w:sz w:val="24"/>
                <w:szCs w:val="24"/>
                <w:lang w:val="it-IT"/>
              </w:rPr>
            </w:pPr>
          </w:p>
        </w:tc>
      </w:tr>
      <w:tr w:rsidR="00616C35" w:rsidTr="00616C35">
        <w:trPr>
          <w:trHeight w:val="340"/>
        </w:trPr>
        <w:tc>
          <w:tcPr>
            <w:tcW w:w="1843"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jc w:val="left"/>
              <w:rPr>
                <w:b w:val="0"/>
                <w:bCs w:val="0"/>
                <w:i/>
                <w:sz w:val="24"/>
                <w:szCs w:val="24"/>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rPr>
                <w:b w:val="0"/>
                <w:bCs w:val="0"/>
                <w:sz w:val="24"/>
                <w:szCs w:val="24"/>
                <w:lang w:val="it-IT"/>
              </w:rPr>
            </w:pPr>
          </w:p>
        </w:tc>
        <w:tc>
          <w:tcPr>
            <w:tcW w:w="1803"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jc w:val="center"/>
              <w:rPr>
                <w:b w:val="0"/>
                <w:bCs w:val="0"/>
                <w:sz w:val="24"/>
                <w:szCs w:val="24"/>
                <w:lang w:val="it-IT"/>
              </w:rPr>
            </w:pPr>
          </w:p>
        </w:tc>
        <w:tc>
          <w:tcPr>
            <w:tcW w:w="1804"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jc w:val="center"/>
              <w:rPr>
                <w:b w:val="0"/>
                <w:bCs w:val="0"/>
                <w:sz w:val="24"/>
                <w:szCs w:val="24"/>
                <w:lang w:val="it-IT"/>
              </w:rPr>
            </w:pPr>
          </w:p>
        </w:tc>
      </w:tr>
      <w:tr w:rsidR="00616C35" w:rsidTr="00616C35">
        <w:trPr>
          <w:trHeight w:val="340"/>
        </w:trPr>
        <w:tc>
          <w:tcPr>
            <w:tcW w:w="1843"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jc w:val="left"/>
              <w:rPr>
                <w:b w:val="0"/>
                <w:bCs w:val="0"/>
                <w:sz w:val="24"/>
                <w:szCs w:val="24"/>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rPr>
                <w:b w:val="0"/>
                <w:bCs w:val="0"/>
                <w:sz w:val="24"/>
                <w:szCs w:val="24"/>
                <w:lang w:val="it-IT"/>
              </w:rPr>
            </w:pPr>
          </w:p>
        </w:tc>
        <w:tc>
          <w:tcPr>
            <w:tcW w:w="1803"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jc w:val="center"/>
              <w:rPr>
                <w:b w:val="0"/>
                <w:bCs w:val="0"/>
                <w:sz w:val="24"/>
                <w:szCs w:val="24"/>
                <w:lang w:val="it-IT"/>
              </w:rPr>
            </w:pPr>
          </w:p>
        </w:tc>
        <w:tc>
          <w:tcPr>
            <w:tcW w:w="1804" w:type="dxa"/>
            <w:tcBorders>
              <w:top w:val="single" w:sz="4" w:space="0" w:color="auto"/>
              <w:left w:val="single" w:sz="4" w:space="0" w:color="auto"/>
              <w:bottom w:val="single" w:sz="4" w:space="0" w:color="auto"/>
              <w:right w:val="single" w:sz="4" w:space="0" w:color="auto"/>
            </w:tcBorders>
            <w:vAlign w:val="center"/>
          </w:tcPr>
          <w:p w:rsidR="00616C35" w:rsidRDefault="00616C35">
            <w:pPr>
              <w:pStyle w:val="inizio1"/>
              <w:widowControl/>
              <w:spacing w:line="360" w:lineRule="auto"/>
              <w:jc w:val="center"/>
              <w:rPr>
                <w:b w:val="0"/>
                <w:bCs w:val="0"/>
                <w:sz w:val="24"/>
                <w:szCs w:val="24"/>
                <w:lang w:val="it-IT"/>
              </w:rPr>
            </w:pPr>
          </w:p>
        </w:tc>
      </w:tr>
    </w:tbl>
    <w:p w:rsidR="00616C35" w:rsidRDefault="00616C35" w:rsidP="00616C35">
      <w:pPr>
        <w:pStyle w:val="formul13"/>
        <w:spacing w:line="360" w:lineRule="auto"/>
        <w:rPr>
          <w:sz w:val="24"/>
          <w:szCs w:val="24"/>
          <w:lang w:val="it-IT"/>
        </w:rPr>
      </w:pPr>
    </w:p>
    <w:p w:rsidR="00616C35" w:rsidRDefault="00616C35" w:rsidP="00616C35">
      <w:pPr>
        <w:pStyle w:val="formul13"/>
        <w:spacing w:line="360" w:lineRule="auto"/>
        <w:rPr>
          <w:sz w:val="24"/>
          <w:szCs w:val="24"/>
          <w:lang w:val="it-IT"/>
        </w:rPr>
      </w:pPr>
      <w:r>
        <w:rPr>
          <w:rStyle w:val="Testosegnaposto"/>
          <w:sz w:val="24"/>
          <w:szCs w:val="24"/>
          <w:lang w:val="it-IT"/>
        </w:rPr>
        <w:t>Fare clic qui per immettere testo.</w:t>
      </w:r>
    </w:p>
    <w:p w:rsidR="00616C35" w:rsidRDefault="00616C35" w:rsidP="00616C35">
      <w:pPr>
        <w:pStyle w:val="formul13"/>
        <w:spacing w:line="360" w:lineRule="auto"/>
        <w:rPr>
          <w:sz w:val="24"/>
          <w:szCs w:val="24"/>
          <w:lang w:val="it-IT"/>
        </w:rPr>
      </w:pPr>
    </w:p>
    <w:p w:rsidR="00616C35" w:rsidRDefault="00616C35" w:rsidP="00616C35">
      <w:pPr>
        <w:pStyle w:val="formul13"/>
        <w:spacing w:line="360" w:lineRule="auto"/>
        <w:rPr>
          <w:sz w:val="24"/>
          <w:szCs w:val="24"/>
          <w:lang w:val="it-IT"/>
        </w:rPr>
      </w:pPr>
      <w:r>
        <w:rPr>
          <w:sz w:val="24"/>
          <w:szCs w:val="24"/>
          <w:lang w:val="it-IT"/>
        </w:rPr>
        <w:t xml:space="preserve">Non vi sono opposizioni agli atti esecutivi. </w:t>
      </w:r>
    </w:p>
    <w:p w:rsidR="00616C35" w:rsidRDefault="00616C35" w:rsidP="00616C35">
      <w:pPr>
        <w:pStyle w:val="formul13"/>
        <w:spacing w:line="360" w:lineRule="auto"/>
        <w:rPr>
          <w:sz w:val="24"/>
          <w:szCs w:val="24"/>
          <w:lang w:val="it-IT"/>
        </w:rPr>
      </w:pPr>
      <w:r>
        <w:rPr>
          <w:sz w:val="24"/>
          <w:szCs w:val="24"/>
          <w:lang w:val="it-IT"/>
        </w:rPr>
        <w:t>Il procuratore del creditore procedente dichiara di avere depositato telematicamente l’avviso di fissazione dell’udienza 569 c.p.c. regolarmente notificato ai comproprietari e chiede la vendita delegata dei beni pignorati nonché la nomina di un custode ex art. 559 c.p.c. ove non già nominato e la pubblicazione degli avvisi, a norma dell’art. 490 c.p.c. anche nelle forme della pubblicità commerciale secondo le condizioni di vendita del Tribunale di Bolzano.</w:t>
      </w:r>
    </w:p>
    <w:p w:rsidR="00616C35" w:rsidRDefault="00616C35" w:rsidP="00616C35">
      <w:pPr>
        <w:pStyle w:val="formul11"/>
        <w:spacing w:before="0" w:line="360" w:lineRule="auto"/>
        <w:rPr>
          <w:sz w:val="24"/>
          <w:szCs w:val="24"/>
          <w:lang w:val="it-IT"/>
        </w:rPr>
      </w:pPr>
    </w:p>
    <w:p w:rsidR="00616C35" w:rsidRDefault="00616C35" w:rsidP="00616C35">
      <w:pPr>
        <w:pStyle w:val="formul11"/>
        <w:spacing w:before="0" w:line="360" w:lineRule="auto"/>
        <w:rPr>
          <w:sz w:val="24"/>
          <w:szCs w:val="24"/>
          <w:lang w:val="it-IT"/>
        </w:rPr>
      </w:pPr>
    </w:p>
    <w:p w:rsidR="00616C35" w:rsidRDefault="00616C35" w:rsidP="00616C35">
      <w:pPr>
        <w:widowControl w:val="0"/>
        <w:suppressAutoHyphens/>
        <w:spacing w:line="360" w:lineRule="auto"/>
        <w:jc w:val="center"/>
        <w:rPr>
          <w:rFonts w:eastAsia="Arial Unicode MS"/>
          <w:b/>
        </w:rPr>
      </w:pPr>
      <w:r>
        <w:rPr>
          <w:rFonts w:eastAsia="Arial Unicode MS"/>
          <w:b/>
        </w:rPr>
        <w:t>IL GIUDICE DELL’ESECUZIONE</w:t>
      </w:r>
    </w:p>
    <w:p w:rsidR="00616C35" w:rsidRDefault="00616C35" w:rsidP="00616C35">
      <w:pPr>
        <w:widowControl w:val="0"/>
        <w:suppressAutoHyphens/>
        <w:spacing w:line="360" w:lineRule="auto"/>
        <w:rPr>
          <w:rFonts w:eastAsia="Arial Unicode MS"/>
        </w:rPr>
      </w:pPr>
      <w:r>
        <w:rPr>
          <w:rFonts w:eastAsia="Arial Unicode MS"/>
        </w:rPr>
        <w:t>-</w:t>
      </w:r>
      <w:r>
        <w:rPr>
          <w:rFonts w:eastAsia="Arial Unicode MS"/>
        </w:rPr>
        <w:tab/>
        <w:t>esaminata la documentazione in atti;</w:t>
      </w:r>
    </w:p>
    <w:p w:rsidR="00616C35" w:rsidRDefault="00616C35" w:rsidP="00616C35">
      <w:pPr>
        <w:widowControl w:val="0"/>
        <w:suppressAutoHyphens/>
        <w:spacing w:line="360" w:lineRule="auto"/>
        <w:rPr>
          <w:rFonts w:eastAsia="Arial Unicode MS"/>
        </w:rPr>
      </w:pPr>
      <w:r>
        <w:rPr>
          <w:rFonts w:eastAsia="Arial Unicode MS"/>
          <w:i/>
        </w:rPr>
        <w:t>-</w:t>
      </w:r>
      <w:r>
        <w:rPr>
          <w:rFonts w:eastAsia="Arial Unicode MS"/>
        </w:rPr>
        <w:tab/>
        <w:t>vista l’istanza di vendita presentata nella presente procedura;</w:t>
      </w:r>
    </w:p>
    <w:p w:rsidR="00616C35" w:rsidRDefault="00616C35" w:rsidP="00616C35">
      <w:pPr>
        <w:widowControl w:val="0"/>
        <w:suppressAutoHyphens/>
        <w:spacing w:line="360" w:lineRule="auto"/>
        <w:rPr>
          <w:rFonts w:eastAsia="Arial Unicode MS"/>
        </w:rPr>
      </w:pPr>
      <w:r>
        <w:rPr>
          <w:rFonts w:eastAsia="Arial Unicode MS"/>
        </w:rPr>
        <w:t>-</w:t>
      </w:r>
      <w:r>
        <w:rPr>
          <w:rFonts w:eastAsia="Arial Unicode MS"/>
        </w:rPr>
        <w:tab/>
        <w:t>sentite le parti e preso atto delle osservazioni ed istanze dalle stesse avanzate;</w:t>
      </w:r>
    </w:p>
    <w:p w:rsidR="00616C35" w:rsidRDefault="00616C35" w:rsidP="00616C35">
      <w:pPr>
        <w:pStyle w:val="formul4"/>
        <w:spacing w:line="360" w:lineRule="auto"/>
        <w:rPr>
          <w:sz w:val="24"/>
          <w:szCs w:val="24"/>
          <w:lang w:val="it-IT"/>
        </w:rPr>
      </w:pPr>
      <w:r>
        <w:rPr>
          <w:sz w:val="24"/>
          <w:szCs w:val="24"/>
          <w:lang w:val="it-IT"/>
        </w:rPr>
        <w:t xml:space="preserve">- </w:t>
      </w:r>
      <w:r>
        <w:rPr>
          <w:sz w:val="24"/>
          <w:szCs w:val="24"/>
          <w:lang w:val="it-IT"/>
        </w:rPr>
        <w:tab/>
        <w:t xml:space="preserve">tenuto conto che a far tempo dal 10.4.2018 tutte le vendite che saranno disposte dovranno svolgersi secondo modalità telematiche ai sensi del novellato art. 569 </w:t>
      </w:r>
      <w:r w:rsidR="00EB77CD">
        <w:rPr>
          <w:sz w:val="24"/>
          <w:szCs w:val="24"/>
          <w:lang w:val="it-IT"/>
        </w:rPr>
        <w:t>c.p.c.,</w:t>
      </w:r>
      <w:r>
        <w:rPr>
          <w:sz w:val="24"/>
          <w:szCs w:val="24"/>
          <w:lang w:val="it-IT"/>
        </w:rPr>
        <w:t xml:space="preserve"> salvo che non si evidenzino peculiari ragioni che inducano a ritenere che questa modalità sia pregiudizievole per l’interesse dei creditori e per il sollecito svolgimento della procedura, </w:t>
      </w:r>
    </w:p>
    <w:p w:rsidR="00616C35" w:rsidRDefault="00616C35" w:rsidP="00616C35">
      <w:pPr>
        <w:pStyle w:val="formul4"/>
        <w:spacing w:line="360" w:lineRule="auto"/>
        <w:rPr>
          <w:sz w:val="24"/>
          <w:szCs w:val="24"/>
          <w:lang w:val="it-IT"/>
        </w:rPr>
      </w:pPr>
      <w:r>
        <w:rPr>
          <w:sz w:val="24"/>
          <w:szCs w:val="24"/>
          <w:lang w:val="it-IT"/>
        </w:rPr>
        <w:t>-</w:t>
      </w:r>
      <w:r>
        <w:rPr>
          <w:sz w:val="24"/>
          <w:szCs w:val="24"/>
          <w:lang w:val="it-IT"/>
        </w:rPr>
        <w:tab/>
        <w:t xml:space="preserve">che nel caso in esame non sono emerse né sono state prospettate dai creditori ragioni di pregiudizio per l’interesse dei creditori e per il sollecito svolgimento della procedura; </w:t>
      </w:r>
    </w:p>
    <w:p w:rsidR="00616C35" w:rsidRDefault="00616C35" w:rsidP="00616C35">
      <w:pPr>
        <w:pStyle w:val="formul4"/>
        <w:spacing w:line="360" w:lineRule="auto"/>
        <w:rPr>
          <w:sz w:val="24"/>
          <w:szCs w:val="24"/>
          <w:lang w:val="it-IT" w:eastAsia="en-US"/>
        </w:rPr>
      </w:pPr>
      <w:r>
        <w:rPr>
          <w:bCs/>
          <w:sz w:val="24"/>
          <w:szCs w:val="24"/>
          <w:lang w:val="it-IT"/>
        </w:rPr>
        <w:t>-</w:t>
      </w:r>
      <w:r>
        <w:rPr>
          <w:bCs/>
          <w:sz w:val="24"/>
          <w:szCs w:val="24"/>
          <w:lang w:val="it-IT"/>
        </w:rPr>
        <w:tab/>
      </w:r>
      <w:r>
        <w:rPr>
          <w:b/>
          <w:bCs/>
          <w:sz w:val="24"/>
          <w:szCs w:val="24"/>
          <w:lang w:val="it-IT"/>
        </w:rPr>
        <w:t>ritenuto di adottare il modello della vendita sincrona mista regolato dall’art. 22 del Decreto del Ministro della Giustizia 26 febbraio 2015 n. 32</w:t>
      </w:r>
      <w:r>
        <w:rPr>
          <w:bCs/>
          <w:sz w:val="24"/>
          <w:szCs w:val="24"/>
          <w:lang w:val="it-IT"/>
        </w:rPr>
        <w:t xml:space="preserve"> che prevede la presentazione delle offerte sia in via telematica che su supporto analogico mediante deposito in cancelleria e dispone lo svolgimento della gara dinanzi al professionista tra gli offerenti telematici che partecipano in via telematica e gli offerenti su supporto analogico che partecipano di persona o a mezzo avvocato </w:t>
      </w:r>
      <w:r>
        <w:rPr>
          <w:bCs/>
          <w:sz w:val="24"/>
          <w:szCs w:val="24"/>
          <w:lang w:val="it-IT"/>
        </w:rPr>
        <w:lastRenderedPageBreak/>
        <w:t xml:space="preserve">delegato, </w:t>
      </w:r>
      <w:proofErr w:type="spellStart"/>
      <w:r>
        <w:rPr>
          <w:bCs/>
          <w:sz w:val="24"/>
          <w:szCs w:val="24"/>
          <w:lang w:val="it-IT"/>
        </w:rPr>
        <w:t>poichè</w:t>
      </w:r>
      <w:proofErr w:type="spellEnd"/>
      <w:r>
        <w:rPr>
          <w:bCs/>
          <w:sz w:val="24"/>
          <w:szCs w:val="24"/>
          <w:lang w:val="it-IT"/>
        </w:rPr>
        <w:t xml:space="preserve"> in questo primo periodo è opportuno favorire una gradualità nell’abbandono delle vendite tradizionali; </w:t>
      </w:r>
    </w:p>
    <w:p w:rsidR="00616C35" w:rsidRDefault="00616C35" w:rsidP="00616C35">
      <w:pPr>
        <w:widowControl w:val="0"/>
        <w:suppressAutoHyphens/>
        <w:spacing w:line="360" w:lineRule="auto"/>
        <w:rPr>
          <w:rFonts w:eastAsia="Arial Unicode MS"/>
        </w:rPr>
      </w:pPr>
      <w:r>
        <w:rPr>
          <w:rFonts w:eastAsia="Arial Unicode MS"/>
        </w:rPr>
        <w:t>-</w:t>
      </w:r>
      <w:r>
        <w:rPr>
          <w:rFonts w:eastAsia="Arial Unicode MS"/>
        </w:rPr>
        <w:tab/>
        <w:t>ritenuta l’opportunità di procedere alla vendita con le forme previste dall’art. 591 bis c.p.c., mediante delega del compimento delle operazioni ad un professionista delegato;</w:t>
      </w:r>
    </w:p>
    <w:p w:rsidR="00616C35" w:rsidRDefault="00616C35" w:rsidP="00616C35">
      <w:pPr>
        <w:widowControl w:val="0"/>
        <w:suppressAutoHyphens/>
        <w:spacing w:line="360" w:lineRule="auto"/>
        <w:rPr>
          <w:rFonts w:eastAsia="Arial Unicode MS"/>
        </w:rPr>
      </w:pPr>
      <w:r>
        <w:rPr>
          <w:rFonts w:eastAsia="Arial Unicode MS"/>
        </w:rPr>
        <w:t xml:space="preserve">- rilevato che già si è provveduto alla nomina del custode ai sensi dell’art. 559 </w:t>
      </w:r>
      <w:proofErr w:type="spellStart"/>
      <w:r>
        <w:rPr>
          <w:rFonts w:eastAsia="Arial Unicode MS"/>
        </w:rPr>
        <w:t>cpc</w:t>
      </w:r>
      <w:proofErr w:type="spellEnd"/>
      <w:r>
        <w:rPr>
          <w:rFonts w:eastAsia="Arial Unicode MS"/>
        </w:rPr>
        <w:t xml:space="preserve"> e che pertanto pare opportuno affidare al medesimo professionista anche la delega di cui all’art. 591bis </w:t>
      </w:r>
      <w:proofErr w:type="spellStart"/>
      <w:r>
        <w:rPr>
          <w:rFonts w:eastAsia="Arial Unicode MS"/>
        </w:rPr>
        <w:t>cpc</w:t>
      </w:r>
      <w:proofErr w:type="spellEnd"/>
      <w:r>
        <w:rPr>
          <w:rFonts w:eastAsia="Arial Unicode MS"/>
        </w:rPr>
        <w:t>;</w:t>
      </w:r>
    </w:p>
    <w:p w:rsidR="00616C35" w:rsidRDefault="00616C35" w:rsidP="00616C35">
      <w:pPr>
        <w:widowControl w:val="0"/>
        <w:suppressAutoHyphens/>
        <w:spacing w:line="360" w:lineRule="auto"/>
        <w:jc w:val="left"/>
        <w:rPr>
          <w:rFonts w:eastAsia="Arial Unicode MS"/>
        </w:rPr>
      </w:pPr>
      <w:r>
        <w:rPr>
          <w:rFonts w:eastAsia="Arial Unicode MS"/>
        </w:rPr>
        <w:t>visti gli artt. 569 e 591 bis c.p.c.,</w:t>
      </w:r>
    </w:p>
    <w:p w:rsidR="00616C35" w:rsidRDefault="00616C35" w:rsidP="00616C35">
      <w:pPr>
        <w:widowControl w:val="0"/>
        <w:suppressAutoHyphens/>
        <w:spacing w:line="360" w:lineRule="auto"/>
        <w:jc w:val="center"/>
        <w:rPr>
          <w:rFonts w:eastAsia="Arial Unicode MS"/>
          <w:b/>
        </w:rPr>
      </w:pPr>
      <w:r>
        <w:rPr>
          <w:rFonts w:eastAsia="Arial Unicode MS"/>
          <w:b/>
        </w:rPr>
        <w:t>DELEGA</w:t>
      </w:r>
    </w:p>
    <w:p w:rsidR="00616C35" w:rsidRDefault="00616C35" w:rsidP="00616C35">
      <w:pPr>
        <w:spacing w:line="360" w:lineRule="auto"/>
      </w:pPr>
      <w:r>
        <w:rPr>
          <w:rFonts w:eastAsia="Arial Unicode MS"/>
          <w:b/>
        </w:rPr>
        <w:t xml:space="preserve">il compimento delle operazioni di vendita al professionista già nominato custode, …………………… </w:t>
      </w:r>
      <w:r>
        <w:t>che vi provvederà, quale referente della procedura, presso il Tribunale di Bolzano, con eventuale gara tra gli offerenti in modalità sincrona mista (art. 22 D.M. n. 32/2015);</w:t>
      </w:r>
    </w:p>
    <w:p w:rsidR="00616C35" w:rsidRDefault="00616C35" w:rsidP="00616C35">
      <w:pPr>
        <w:spacing w:line="360" w:lineRule="auto"/>
        <w:jc w:val="center"/>
        <w:rPr>
          <w:b/>
        </w:rPr>
      </w:pPr>
      <w:r>
        <w:rPr>
          <w:b/>
        </w:rPr>
        <w:t>NOMINA</w:t>
      </w:r>
    </w:p>
    <w:p w:rsidR="00616C35" w:rsidRDefault="00616C35" w:rsidP="00616C35">
      <w:pPr>
        <w:spacing w:line="360" w:lineRule="auto"/>
        <w:rPr>
          <w:color w:val="FF0000"/>
        </w:rPr>
      </w:pPr>
      <w:r>
        <w:t xml:space="preserve">gestore della vendita telematica la Società ASTALEGALE.NET S.P.A., che vi provvederà a mezzo della sua piattaforma </w:t>
      </w:r>
      <w:proofErr w:type="spellStart"/>
      <w:r>
        <w:t>SpazioAste</w:t>
      </w:r>
      <w:proofErr w:type="spellEnd"/>
      <w:r>
        <w:t xml:space="preserve">, considerato che allo stato è l’unico gestore a garantire la partecipazione alla vendita anche in lingua tedesca;  </w:t>
      </w:r>
    </w:p>
    <w:p w:rsidR="00616C35" w:rsidRDefault="00616C35" w:rsidP="00616C35">
      <w:pPr>
        <w:widowControl w:val="0"/>
        <w:suppressAutoHyphens/>
        <w:spacing w:line="360" w:lineRule="auto"/>
        <w:rPr>
          <w:rFonts w:eastAsia="Arial Unicode MS"/>
          <w:b/>
        </w:rPr>
      </w:pPr>
    </w:p>
    <w:p w:rsidR="00616C35" w:rsidRDefault="00616C35" w:rsidP="00616C35">
      <w:pPr>
        <w:widowControl w:val="0"/>
        <w:suppressAutoHyphens/>
        <w:spacing w:line="360" w:lineRule="auto"/>
        <w:jc w:val="center"/>
        <w:rPr>
          <w:rFonts w:eastAsia="Arial Unicode MS"/>
          <w:b/>
        </w:rPr>
      </w:pPr>
      <w:r>
        <w:rPr>
          <w:rFonts w:eastAsia="Arial Unicode MS"/>
          <w:b/>
        </w:rPr>
        <w:t>MANDA</w:t>
      </w:r>
    </w:p>
    <w:p w:rsidR="00616C35" w:rsidRDefault="00616C35" w:rsidP="00616C35">
      <w:pPr>
        <w:widowControl w:val="0"/>
        <w:suppressAutoHyphens/>
        <w:spacing w:line="360" w:lineRule="auto"/>
        <w:rPr>
          <w:rFonts w:eastAsia="Arial Unicode MS"/>
          <w:b/>
          <w:bCs/>
        </w:rPr>
      </w:pPr>
      <w:r>
        <w:rPr>
          <w:rFonts w:eastAsia="Arial Unicode MS"/>
          <w:b/>
          <w:bCs/>
        </w:rPr>
        <w:t>la cancelleria per la comunicazione di copia del presente provvedimento al custode/delegato non appena risulterà scaricato dalla cancelleria in via telematica;</w:t>
      </w:r>
    </w:p>
    <w:p w:rsidR="00616C35" w:rsidRDefault="00616C35" w:rsidP="00616C35">
      <w:pPr>
        <w:widowControl w:val="0"/>
        <w:suppressAutoHyphens/>
        <w:spacing w:line="360" w:lineRule="auto"/>
        <w:jc w:val="center"/>
        <w:rPr>
          <w:rFonts w:eastAsia="Arial Unicode MS"/>
          <w:b/>
          <w:bCs/>
        </w:rPr>
      </w:pPr>
      <w:r>
        <w:rPr>
          <w:rFonts w:eastAsia="Arial Unicode MS"/>
          <w:b/>
          <w:bCs/>
        </w:rPr>
        <w:t>AUTORIZZA</w:t>
      </w:r>
    </w:p>
    <w:p w:rsidR="00616C35" w:rsidRDefault="00616C35" w:rsidP="00616C35">
      <w:pPr>
        <w:widowControl w:val="0"/>
        <w:suppressAutoHyphens/>
        <w:spacing w:line="360" w:lineRule="auto"/>
        <w:rPr>
          <w:rFonts w:eastAsia="Arial Unicode MS"/>
          <w:b/>
          <w:bCs/>
        </w:rPr>
      </w:pPr>
      <w:r>
        <w:rPr>
          <w:rFonts w:eastAsia="Arial Unicode MS"/>
          <w:b/>
          <w:bCs/>
        </w:rPr>
        <w:t>il custode/delegato all’accesso al fascicolo telematico della procedura;</w:t>
      </w:r>
    </w:p>
    <w:p w:rsidR="00616C35" w:rsidRDefault="00616C35" w:rsidP="00616C35">
      <w:pPr>
        <w:widowControl w:val="0"/>
        <w:suppressAutoHyphens/>
        <w:spacing w:line="360" w:lineRule="auto"/>
        <w:jc w:val="center"/>
        <w:rPr>
          <w:rFonts w:eastAsia="Arial Unicode MS"/>
          <w:b/>
          <w:bCs/>
        </w:rPr>
      </w:pPr>
      <w:r>
        <w:rPr>
          <w:rFonts w:eastAsia="Arial Unicode MS"/>
          <w:b/>
          <w:bCs/>
        </w:rPr>
        <w:t xml:space="preserve">DISPONE </w:t>
      </w:r>
    </w:p>
    <w:p w:rsidR="00616C35" w:rsidRDefault="00616C35" w:rsidP="00616C35">
      <w:pPr>
        <w:widowControl w:val="0"/>
        <w:suppressAutoHyphens/>
        <w:spacing w:line="360" w:lineRule="auto"/>
        <w:rPr>
          <w:rFonts w:eastAsia="Arial Unicode MS"/>
          <w:b/>
          <w:bCs/>
        </w:rPr>
      </w:pPr>
      <w:r>
        <w:rPr>
          <w:rFonts w:eastAsia="Arial Unicode MS"/>
          <w:b/>
          <w:bCs/>
        </w:rPr>
        <w:t xml:space="preserve">la vendita dei beni pignorati innanzi al Delegato, </w:t>
      </w:r>
    </w:p>
    <w:p w:rsidR="00616C35" w:rsidRDefault="00616C35" w:rsidP="00616C35">
      <w:pPr>
        <w:widowControl w:val="0"/>
        <w:suppressAutoHyphens/>
        <w:spacing w:line="360" w:lineRule="auto"/>
        <w:jc w:val="center"/>
        <w:rPr>
          <w:rFonts w:eastAsia="Arial Unicode MS"/>
          <w:b/>
          <w:bCs/>
        </w:rPr>
      </w:pPr>
      <w:r>
        <w:rPr>
          <w:rFonts w:eastAsia="Arial Unicode MS"/>
          <w:b/>
          <w:bCs/>
        </w:rPr>
        <w:t>INDICA</w:t>
      </w:r>
    </w:p>
    <w:p w:rsidR="00616C35" w:rsidRDefault="00616C35" w:rsidP="00616C35">
      <w:pPr>
        <w:widowControl w:val="0"/>
        <w:suppressAutoHyphens/>
        <w:spacing w:line="360" w:lineRule="auto"/>
        <w:rPr>
          <w:rFonts w:eastAsia="Arial Unicode MS"/>
        </w:rPr>
      </w:pPr>
      <w:r>
        <w:rPr>
          <w:rFonts w:eastAsia="Arial Unicode MS"/>
          <w:b/>
          <w:bCs/>
        </w:rPr>
        <w:t>il prezzo base e il prezzo dell’offerta minima comunque valida per la partecipazione alla gara degli offerenti e/o per l’eventuale aggiudicazione di ciascuno dei lotti di seguito indicati</w:t>
      </w:r>
      <w:r>
        <w:rPr>
          <w:rFonts w:eastAsia="Arial Unicode MS"/>
          <w:b/>
          <w:bCs/>
          <w:color w:val="FF0000"/>
        </w:rPr>
        <w:t xml:space="preserve"> </w:t>
      </w:r>
      <w:r>
        <w:rPr>
          <w:rFonts w:eastAsia="Arial Unicode MS"/>
          <w:b/>
          <w:bCs/>
        </w:rPr>
        <w:t xml:space="preserve">(salvo quanto disposto dall’art. 572 </w:t>
      </w:r>
      <w:proofErr w:type="spellStart"/>
      <w:r>
        <w:rPr>
          <w:rFonts w:eastAsia="Arial Unicode MS"/>
          <w:b/>
          <w:bCs/>
        </w:rPr>
        <w:t>cpc</w:t>
      </w:r>
      <w:proofErr w:type="spellEnd"/>
      <w:r>
        <w:rPr>
          <w:rFonts w:eastAsia="Arial Unicode MS"/>
          <w:b/>
          <w:bCs/>
        </w:rPr>
        <w:t>)</w:t>
      </w:r>
      <w:r>
        <w:rPr>
          <w:rFonts w:eastAsia="Arial Unicode MS"/>
        </w:rPr>
        <w:t>:</w:t>
      </w:r>
    </w:p>
    <w:p w:rsidR="00616C35" w:rsidRDefault="00616C35" w:rsidP="00616C35">
      <w:pPr>
        <w:widowControl w:val="0"/>
        <w:suppressAutoHyphens/>
        <w:spacing w:line="360" w:lineRule="auto"/>
        <w:rPr>
          <w:rFonts w:eastAsia="Arial Unicode MS"/>
        </w:rPr>
      </w:pPr>
    </w:p>
    <w:p w:rsidR="00616C35" w:rsidRDefault="00616C35" w:rsidP="00616C35">
      <w:pPr>
        <w:widowControl w:val="0"/>
        <w:suppressAutoHyphens/>
        <w:spacing w:line="360" w:lineRule="auto"/>
        <w:rPr>
          <w:rFonts w:eastAsia="Arial Unicode MS"/>
        </w:rPr>
      </w:pPr>
      <w:proofErr w:type="gramStart"/>
      <w:r>
        <w:rPr>
          <w:rFonts w:eastAsia="Arial Unicode MS"/>
        </w:rPr>
        <w:t>LOTTO  –</w:t>
      </w:r>
      <w:proofErr w:type="gramEnd"/>
      <w:r>
        <w:rPr>
          <w:rFonts w:eastAsia="Arial Unicode MS"/>
        </w:rPr>
        <w:t xml:space="preserve"> LOS : ;</w:t>
      </w:r>
    </w:p>
    <w:p w:rsidR="00616C35" w:rsidRDefault="00616C35" w:rsidP="00616C35">
      <w:pPr>
        <w:widowControl w:val="0"/>
        <w:suppressAutoHyphens/>
        <w:spacing w:line="360" w:lineRule="auto"/>
        <w:rPr>
          <w:rFonts w:eastAsia="Arial Unicode MS"/>
        </w:rPr>
      </w:pPr>
    </w:p>
    <w:p w:rsidR="00616C35" w:rsidRDefault="00616C35" w:rsidP="00616C35">
      <w:pPr>
        <w:widowControl w:val="0"/>
        <w:suppressAutoHyphens/>
        <w:spacing w:line="360" w:lineRule="auto"/>
        <w:rPr>
          <w:rFonts w:eastAsia="Arial Unicode MS"/>
        </w:rPr>
      </w:pPr>
      <w:r>
        <w:rPr>
          <w:rFonts w:eastAsia="Arial Unicode MS"/>
        </w:rPr>
        <w:t>Prezzo base/</w:t>
      </w:r>
      <w:proofErr w:type="spellStart"/>
      <w:r>
        <w:rPr>
          <w:rFonts w:eastAsia="Arial Unicode MS"/>
        </w:rPr>
        <w:t>Ausrufpreis</w:t>
      </w:r>
      <w:proofErr w:type="spellEnd"/>
      <w:r>
        <w:rPr>
          <w:rFonts w:eastAsia="Arial Unicode MS"/>
        </w:rPr>
        <w:t xml:space="preserve">: € </w:t>
      </w:r>
      <w:r>
        <w:rPr>
          <w:rStyle w:val="Testosegnaposto"/>
        </w:rPr>
        <w:t xml:space="preserve">Fare clic qui per immettere </w:t>
      </w:r>
      <w:proofErr w:type="gramStart"/>
      <w:r>
        <w:rPr>
          <w:rStyle w:val="Testosegnaposto"/>
        </w:rPr>
        <w:t>testo.</w:t>
      </w:r>
      <w:r>
        <w:rPr>
          <w:rFonts w:eastAsia="Arial Unicode MS"/>
        </w:rPr>
        <w:t>=</w:t>
      </w:r>
      <w:proofErr w:type="gramEnd"/>
      <w:r>
        <w:rPr>
          <w:rFonts w:eastAsia="Arial Unicode MS"/>
        </w:rPr>
        <w:t xml:space="preserve"> (valore periziato) Offerta minima/</w:t>
      </w:r>
      <w:proofErr w:type="spellStart"/>
      <w:r>
        <w:rPr>
          <w:rFonts w:eastAsia="Arial Unicode MS"/>
        </w:rPr>
        <w:t>Mindestangebot</w:t>
      </w:r>
      <w:proofErr w:type="spellEnd"/>
      <w:r>
        <w:rPr>
          <w:rFonts w:eastAsia="Arial Unicode MS"/>
        </w:rPr>
        <w:t xml:space="preserve"> € </w:t>
      </w:r>
      <w:r>
        <w:rPr>
          <w:rStyle w:val="Testosegnaposto"/>
        </w:rPr>
        <w:t>Fare clic qui per immettere testo.</w:t>
      </w:r>
      <w:r>
        <w:rPr>
          <w:rFonts w:eastAsia="Arial Unicode MS"/>
        </w:rPr>
        <w:t>= (75% valore periziato)</w:t>
      </w:r>
    </w:p>
    <w:p w:rsidR="00616C35" w:rsidRDefault="00616C35" w:rsidP="00616C35">
      <w:pPr>
        <w:widowControl w:val="0"/>
        <w:suppressAutoHyphens/>
        <w:spacing w:line="360" w:lineRule="auto"/>
        <w:rPr>
          <w:rFonts w:eastAsia="Arial Unicode MS"/>
        </w:rPr>
      </w:pPr>
    </w:p>
    <w:p w:rsidR="00616C35" w:rsidRDefault="00616C35" w:rsidP="00616C35">
      <w:pPr>
        <w:widowControl w:val="0"/>
        <w:suppressAutoHyphens/>
        <w:spacing w:line="360" w:lineRule="auto"/>
        <w:rPr>
          <w:rFonts w:eastAsia="Arial Unicode MS"/>
        </w:rPr>
      </w:pPr>
      <w:r>
        <w:rPr>
          <w:rFonts w:eastAsia="Arial Unicode MS"/>
        </w:rPr>
        <w:t>L’importo del rilancio minimo è così determinato:</w:t>
      </w:r>
    </w:p>
    <w:p w:rsidR="00616C35" w:rsidRDefault="00616C35" w:rsidP="00616C35">
      <w:pPr>
        <w:widowControl w:val="0"/>
        <w:suppressAutoHyphens/>
        <w:spacing w:line="360" w:lineRule="auto"/>
        <w:rPr>
          <w:rFonts w:eastAsia="Arial Unicode MS"/>
        </w:rPr>
      </w:pPr>
      <w:r>
        <w:rPr>
          <w:rFonts w:eastAsia="Arial Unicode MS"/>
        </w:rPr>
        <w:lastRenderedPageBreak/>
        <w:t>Euro 1.000 per un prezzo base non superiore a 10.000 Euro</w:t>
      </w:r>
    </w:p>
    <w:p w:rsidR="00616C35" w:rsidRDefault="00616C35" w:rsidP="00616C35">
      <w:pPr>
        <w:widowControl w:val="0"/>
        <w:suppressAutoHyphens/>
        <w:spacing w:line="360" w:lineRule="auto"/>
        <w:rPr>
          <w:rFonts w:eastAsia="Arial Unicode MS"/>
        </w:rPr>
      </w:pPr>
      <w:r>
        <w:rPr>
          <w:rFonts w:eastAsia="Arial Unicode MS"/>
        </w:rPr>
        <w:t>Euro 2.000 per un prezzo base tra 10.000,01 e 100.000 Euro</w:t>
      </w:r>
    </w:p>
    <w:p w:rsidR="00616C35" w:rsidRDefault="00616C35" w:rsidP="00616C35">
      <w:pPr>
        <w:widowControl w:val="0"/>
        <w:suppressAutoHyphens/>
        <w:spacing w:line="360" w:lineRule="auto"/>
        <w:rPr>
          <w:rFonts w:eastAsia="Arial Unicode MS"/>
        </w:rPr>
      </w:pPr>
      <w:r>
        <w:rPr>
          <w:rFonts w:eastAsia="Arial Unicode MS"/>
        </w:rPr>
        <w:t>Euro 2.500 per un prezzo base tra 100.000,01 e 250.000 Euro</w:t>
      </w:r>
    </w:p>
    <w:p w:rsidR="00616C35" w:rsidRDefault="00616C35" w:rsidP="00616C35">
      <w:pPr>
        <w:widowControl w:val="0"/>
        <w:suppressAutoHyphens/>
        <w:spacing w:line="360" w:lineRule="auto"/>
        <w:rPr>
          <w:rFonts w:eastAsia="Arial Unicode MS"/>
        </w:rPr>
      </w:pPr>
      <w:r>
        <w:rPr>
          <w:rFonts w:eastAsia="Arial Unicode MS"/>
        </w:rPr>
        <w:t>Euro 5.000 per un prezzo base tra 250.000,01 e 500.000 Euro</w:t>
      </w:r>
    </w:p>
    <w:p w:rsidR="00616C35" w:rsidRDefault="00616C35" w:rsidP="00616C35">
      <w:pPr>
        <w:widowControl w:val="0"/>
        <w:suppressAutoHyphens/>
        <w:spacing w:line="360" w:lineRule="auto"/>
        <w:rPr>
          <w:rFonts w:eastAsia="Arial Unicode MS"/>
        </w:rPr>
      </w:pPr>
      <w:r>
        <w:rPr>
          <w:rFonts w:eastAsia="Arial Unicode MS"/>
        </w:rPr>
        <w:t>Euro 10.000 per un prezzo base superiore a 500.000 Euro</w:t>
      </w:r>
    </w:p>
    <w:p w:rsidR="00616C35" w:rsidRDefault="00616C35" w:rsidP="00616C35">
      <w:pPr>
        <w:pStyle w:val="testobold"/>
        <w:numPr>
          <w:ilvl w:val="0"/>
          <w:numId w:val="0"/>
        </w:numPr>
        <w:spacing w:line="240" w:lineRule="auto"/>
        <w:jc w:val="center"/>
        <w:rPr>
          <w:rFonts w:ascii="Times New Roman" w:hAnsi="Times New Roman" w:cs="Times New Roman"/>
          <w:color w:val="auto"/>
          <w:u w:val="single"/>
        </w:rPr>
      </w:pPr>
    </w:p>
    <w:p w:rsidR="00616C35" w:rsidRDefault="00616C35" w:rsidP="00616C35">
      <w:pPr>
        <w:pStyle w:val="testobold"/>
        <w:numPr>
          <w:ilvl w:val="0"/>
          <w:numId w:val="0"/>
        </w:numPr>
        <w:spacing w:line="240" w:lineRule="auto"/>
        <w:jc w:val="center"/>
        <w:rPr>
          <w:rFonts w:ascii="Times New Roman" w:hAnsi="Times New Roman" w:cs="Times New Roman"/>
          <w:b/>
          <w:color w:val="auto"/>
        </w:rPr>
      </w:pPr>
      <w:r>
        <w:rPr>
          <w:rFonts w:ascii="Times New Roman" w:hAnsi="Times New Roman" w:cs="Times New Roman"/>
          <w:b/>
          <w:color w:val="auto"/>
        </w:rPr>
        <w:t>DETERMINA</w:t>
      </w:r>
    </w:p>
    <w:p w:rsidR="00616C35" w:rsidRDefault="00616C35" w:rsidP="00616C35">
      <w:pPr>
        <w:pStyle w:val="testobold"/>
        <w:numPr>
          <w:ilvl w:val="0"/>
          <w:numId w:val="0"/>
        </w:numPr>
        <w:spacing w:line="240" w:lineRule="auto"/>
        <w:jc w:val="center"/>
        <w:rPr>
          <w:rFonts w:ascii="Times New Roman" w:hAnsi="Times New Roman" w:cs="Times New Roman"/>
          <w:color w:val="auto"/>
          <w:u w:val="single"/>
        </w:rPr>
      </w:pPr>
    </w:p>
    <w:p w:rsidR="00616C35" w:rsidRDefault="00616C35" w:rsidP="00616C35">
      <w:pPr>
        <w:spacing w:after="120" w:line="360" w:lineRule="auto"/>
        <w:ind w:left="120" w:right="120"/>
        <w:outlineLvl w:val="2"/>
      </w:pPr>
      <w:r>
        <w:t xml:space="preserve">che, secondo il modello di vendita sincrona mista adottato, le offerte possono essere presentate sia in via telematica ai sensi degli artt. 12, 13, 14 e 15 del Decreto Ministeriale 26 febbraio 2015 n. 32, sia in forma analogica (offerta in busta chiusa) mediante deposito in cancelleria, come da “Disposizioni generali in materia di vendite immobiliari” qui allegate ed in ogni caso depositate presso la cancelleria delle esecuzioni immobiliari e pubblicate sul sito del Tribunale di Bolzano nella Sezione “Vendite Giudiziarie” - “Come Partecipare” – “Modalità presentazione offerte: esecuzioni immobiliari” (link: </w:t>
      </w:r>
      <w:hyperlink r:id="rId6" w:history="1">
        <w:r>
          <w:rPr>
            <w:rStyle w:val="Collegamentoipertestuale"/>
          </w:rPr>
          <w:t>http://www.tribunale.bolzano.it/it/Content/Index/1374</w:t>
        </w:r>
      </w:hyperlink>
      <w:r>
        <w:t>)</w:t>
      </w:r>
    </w:p>
    <w:p w:rsidR="00616C35" w:rsidRDefault="00616C35" w:rsidP="00616C35">
      <w:pPr>
        <w:spacing w:line="360" w:lineRule="auto"/>
        <w:jc w:val="center"/>
        <w:rPr>
          <w:b/>
        </w:rPr>
      </w:pPr>
      <w:r>
        <w:rPr>
          <w:b/>
        </w:rPr>
        <w:t>OFFERTA CON MODALITÁ ANALOGICA (BUSTA CHIUSA)</w:t>
      </w:r>
    </w:p>
    <w:p w:rsidR="00616C35" w:rsidRDefault="00616C35" w:rsidP="00616C35">
      <w:pPr>
        <w:widowControl w:val="0"/>
        <w:suppressAutoHyphens/>
        <w:spacing w:line="360" w:lineRule="auto"/>
        <w:rPr>
          <w:rFonts w:eastAsia="Arial Unicode MS"/>
        </w:rPr>
      </w:pPr>
      <w:r>
        <w:rPr>
          <w:rFonts w:eastAsia="Arial Unicode MS"/>
        </w:rPr>
        <w:t>Luogo della vendita: Tribunale di Bolzano, Aula F.</w:t>
      </w:r>
    </w:p>
    <w:p w:rsidR="00616C35" w:rsidRDefault="00616C35" w:rsidP="00616C35">
      <w:pPr>
        <w:widowControl w:val="0"/>
        <w:suppressAutoHyphens/>
        <w:spacing w:line="360" w:lineRule="auto"/>
        <w:rPr>
          <w:rFonts w:eastAsia="Arial Unicode MS"/>
        </w:rPr>
      </w:pPr>
      <w:r>
        <w:rPr>
          <w:rFonts w:eastAsia="Arial Unicode MS"/>
        </w:rPr>
        <w:t>Luogo di presentazione delle offerte: Cancelleria Esecuzioni Immobiliari del Tribunale di Bolzano.</w:t>
      </w:r>
    </w:p>
    <w:p w:rsidR="00616C35" w:rsidRDefault="00616C35" w:rsidP="00616C35">
      <w:pPr>
        <w:widowControl w:val="0"/>
        <w:suppressAutoHyphens/>
        <w:spacing w:line="360" w:lineRule="auto"/>
        <w:rPr>
          <w:rFonts w:eastAsia="Arial Unicode MS"/>
        </w:rPr>
      </w:pPr>
      <w:r>
        <w:rPr>
          <w:rFonts w:eastAsia="Arial Unicode MS"/>
        </w:rPr>
        <w:t>Termine entro il quale possono essere proposte le offerte di acquisto: ore 12 del giorno precedente l’udienza per la deliberazione sull’offerta e per la gara tra gli offerenti.</w:t>
      </w:r>
    </w:p>
    <w:p w:rsidR="00616C35" w:rsidRDefault="00616C35" w:rsidP="00616C35">
      <w:pPr>
        <w:widowControl w:val="0"/>
        <w:suppressAutoHyphens/>
        <w:spacing w:line="360" w:lineRule="auto"/>
        <w:rPr>
          <w:rFonts w:eastAsia="Arial Unicode MS"/>
        </w:rPr>
      </w:pPr>
      <w:r>
        <w:rPr>
          <w:rFonts w:eastAsia="Arial Unicode MS"/>
        </w:rPr>
        <w:t>I beni immobili in vendita sono descritti nella relazione di stima depositata nel fascicolo dell’esecuzione, che deve essere consultata dall’offerente e alla quale si fa espresso rinvio anche per tutto ciò che concerne l’esistenza di eventuali oneri e pesi a qualsiasi titolo gravanti sui beni.</w:t>
      </w:r>
    </w:p>
    <w:p w:rsidR="00616C35" w:rsidRDefault="00616C35" w:rsidP="00616C35">
      <w:pPr>
        <w:spacing w:after="120" w:line="360" w:lineRule="auto"/>
        <w:ind w:right="120"/>
        <w:outlineLvl w:val="2"/>
      </w:pPr>
      <w:r>
        <w:t>La pubblicità, l’ammontare della cauzione e le condizioni della vendita sono regolate dalle “Disposizioni generali in materia di vendite immobiliari” sopra richiamate.</w:t>
      </w:r>
      <w:r>
        <w:rPr>
          <w:color w:val="FF0000"/>
        </w:rPr>
        <w:t xml:space="preserve"> </w:t>
      </w:r>
    </w:p>
    <w:p w:rsidR="00616C35" w:rsidRDefault="00616C35" w:rsidP="00616C35">
      <w:pPr>
        <w:spacing w:line="360" w:lineRule="auto"/>
        <w:rPr>
          <w:rFonts w:eastAsia="Arial Unicode MS"/>
        </w:rPr>
      </w:pPr>
      <w:r>
        <w:rPr>
          <w:rFonts w:eastAsia="Arial Unicode MS"/>
        </w:rPr>
        <w:t>Ammontare della cauzione: 10% del prezzo offerto.</w:t>
      </w:r>
    </w:p>
    <w:p w:rsidR="00616C35" w:rsidRDefault="00616C35" w:rsidP="00616C35">
      <w:pPr>
        <w:widowControl w:val="0"/>
        <w:suppressAutoHyphens/>
        <w:spacing w:line="360" w:lineRule="auto"/>
        <w:rPr>
          <w:rFonts w:eastAsia="Arial Unicode MS"/>
        </w:rPr>
      </w:pPr>
      <w:r>
        <w:rPr>
          <w:rFonts w:eastAsia="Arial Unicode MS"/>
        </w:rPr>
        <w:t>Modalità di prestazione della cauzione: assegno circolare non trasferibile intestato alla procedura esecutiva, con indicazione “procedura esecutiva n.”, seguita dal numero della procedura esecutiva (ad esempio “procedura esecutiva n. 120/2015”).</w:t>
      </w:r>
    </w:p>
    <w:p w:rsidR="00616C35" w:rsidRDefault="00616C35" w:rsidP="00616C35">
      <w:pPr>
        <w:widowControl w:val="0"/>
        <w:suppressAutoHyphens/>
        <w:spacing w:line="360" w:lineRule="auto"/>
        <w:rPr>
          <w:rFonts w:eastAsia="Arial Unicode MS"/>
        </w:rPr>
      </w:pPr>
      <w:r>
        <w:rPr>
          <w:rFonts w:eastAsia="Arial Unicode MS"/>
        </w:rPr>
        <w:t>Termine entro il quale il prezzo deve essere depositato: entro e non oltre 60 giorni dall’aggiudicazione (il termine va specificato nella domanda).</w:t>
      </w:r>
    </w:p>
    <w:p w:rsidR="00616C35" w:rsidRDefault="00616C35" w:rsidP="00616C35">
      <w:pPr>
        <w:widowControl w:val="0"/>
        <w:suppressAutoHyphens/>
        <w:spacing w:line="360" w:lineRule="auto"/>
        <w:rPr>
          <w:rFonts w:eastAsia="Arial Unicode MS"/>
        </w:rPr>
      </w:pPr>
      <w:r>
        <w:rPr>
          <w:rFonts w:eastAsia="Arial Unicode MS"/>
        </w:rPr>
        <w:t>Modalità del deposito del prezzo di aggiudicazione: versamento sul conto corrente aperto dal professionista delegato alla vendita.</w:t>
      </w:r>
    </w:p>
    <w:p w:rsidR="00616C35" w:rsidRDefault="00616C35" w:rsidP="00616C35">
      <w:pPr>
        <w:widowControl w:val="0"/>
        <w:suppressAutoHyphens/>
        <w:spacing w:line="360" w:lineRule="auto"/>
        <w:rPr>
          <w:rFonts w:eastAsia="Arial Unicode MS"/>
        </w:rPr>
      </w:pPr>
    </w:p>
    <w:p w:rsidR="00616C35" w:rsidRDefault="00616C35" w:rsidP="00616C35">
      <w:pPr>
        <w:spacing w:line="360" w:lineRule="auto"/>
        <w:jc w:val="center"/>
        <w:rPr>
          <w:b/>
        </w:rPr>
      </w:pPr>
      <w:r>
        <w:rPr>
          <w:b/>
        </w:rPr>
        <w:t>OFFERTA CON MODALITÁ TELEMATICA</w:t>
      </w:r>
    </w:p>
    <w:p w:rsidR="00616C35" w:rsidRDefault="00616C35" w:rsidP="00616C35">
      <w:pPr>
        <w:widowControl w:val="0"/>
        <w:suppressAutoHyphens/>
        <w:spacing w:line="360" w:lineRule="auto"/>
        <w:rPr>
          <w:rFonts w:eastAsia="Arial Unicode MS"/>
        </w:rPr>
      </w:pPr>
      <w:r>
        <w:rPr>
          <w:rFonts w:eastAsia="Arial Unicode MS"/>
        </w:rPr>
        <w:lastRenderedPageBreak/>
        <w:t xml:space="preserve">Presentazione delle offerte: le offerte in via telematica sono presentate in conformità a quanto stabilito dal DM 26 febbraio 2015 n. 32 artt. 12 e ss. e depositate secondo le indicazioni riportate nel “Manuale Utente” pubblicato sul portale delle vendite telematiche del Ministero della Giustizia. </w:t>
      </w:r>
    </w:p>
    <w:p w:rsidR="00616C35" w:rsidRDefault="00616C35" w:rsidP="00616C35">
      <w:pPr>
        <w:widowControl w:val="0"/>
        <w:suppressAutoHyphens/>
        <w:spacing w:line="360" w:lineRule="auto"/>
        <w:rPr>
          <w:rFonts w:eastAsia="Arial Unicode MS"/>
        </w:rPr>
      </w:pPr>
      <w:r>
        <w:rPr>
          <w:rFonts w:eastAsia="Arial Unicode MS"/>
        </w:rPr>
        <w:t xml:space="preserve">Ai sensi dell’art. 571 c.p.c. l’offerta telematica può essere presentata unicamente dall’offerente (o da uno degli offerenti nel caso di pluralità degli stessi o dal legale rappresentante della società offerente) o dal suo procuratore legale anche a norma dell’art. 579 ultimo comma </w:t>
      </w:r>
      <w:r w:rsidR="00EB77CD">
        <w:rPr>
          <w:rFonts w:eastAsia="Arial Unicode MS"/>
        </w:rPr>
        <w:t>c.p.c</w:t>
      </w:r>
      <w:r>
        <w:rPr>
          <w:rFonts w:eastAsia="Arial Unicode MS"/>
        </w:rPr>
        <w:t>.</w:t>
      </w:r>
    </w:p>
    <w:p w:rsidR="00616C35" w:rsidRDefault="00616C35" w:rsidP="00616C35">
      <w:pPr>
        <w:widowControl w:val="0"/>
        <w:suppressAutoHyphens/>
        <w:spacing w:line="360" w:lineRule="auto"/>
        <w:rPr>
          <w:rFonts w:eastAsia="Arial Unicode MS"/>
        </w:rPr>
      </w:pPr>
      <w:r>
        <w:rPr>
          <w:rFonts w:eastAsia="Arial Unicode MS"/>
        </w:rPr>
        <w:t xml:space="preserve">Le offerte di acquisto devono pervenire entro le ore 12 del giorno precedente l’udienza per la deliberazione sull’offerta e per la gara tra gli offerenti mediante invio all’indirizzo PEC del ministero offertapvp.dgsia@giusitiziacert.it utilizzando esclusivamente il modulo precompilato reperibile all’interno del portale ministeriale http://venditepubbliche.giustizia.it ovvero dal portale del gestore. </w:t>
      </w:r>
    </w:p>
    <w:p w:rsidR="00616C35" w:rsidRDefault="00616C35" w:rsidP="00616C35">
      <w:pPr>
        <w:widowControl w:val="0"/>
        <w:suppressAutoHyphens/>
        <w:spacing w:line="360" w:lineRule="auto"/>
        <w:rPr>
          <w:rFonts w:eastAsia="Arial Unicode MS"/>
        </w:rPr>
      </w:pPr>
      <w:r>
        <w:rPr>
          <w:rFonts w:eastAsia="Arial Unicode MS"/>
        </w:rPr>
        <w:t>L’offerente che ha trasmesso l’offerta in via telematica riceve almeno trenta minuti prima dell’inizio delle operazioni di vendita dal gestore della vendita telematica, all’indirizzo di posta elettronica certificata indicato dall’offerente, la comunicazione delle proprie credenziali con l’invito a connettersi al portale e ad accedervi, per la successiva partecipazione, in via telematica, alle operazioni di vendita, che si svolgono materialmente presso il Tribunale di Bolzano, Aula F, sotto la direzione del delegato alla vendita. Un estratto dell’invito è trasmesso dal gestore a mezzo SMS al recapito di telefonia mobile eventualmente indicato nell’offerta.</w:t>
      </w:r>
    </w:p>
    <w:p w:rsidR="00616C35" w:rsidRDefault="00616C35" w:rsidP="00616C35">
      <w:pPr>
        <w:widowControl w:val="0"/>
        <w:suppressAutoHyphens/>
        <w:spacing w:line="360" w:lineRule="auto"/>
        <w:rPr>
          <w:rFonts w:eastAsia="Arial Unicode MS"/>
        </w:rPr>
      </w:pPr>
      <w:r>
        <w:rPr>
          <w:rFonts w:eastAsia="Arial Unicode MS"/>
        </w:rPr>
        <w:t>I beni immobili in vendita sono descritti nella relazione di stima depositata nel fascicolo dell’esecuzione, che deve essere consultata dall’offerente e alla quale si fa espresso rinvio anche per tutto ciò che concerne l’esistenza di eventuali oneri e pesi a qualsiasi titolo gravanti sui beni.</w:t>
      </w:r>
    </w:p>
    <w:p w:rsidR="00616C35" w:rsidRDefault="00616C35" w:rsidP="00616C35">
      <w:pPr>
        <w:spacing w:after="120" w:line="360" w:lineRule="auto"/>
        <w:ind w:right="120"/>
        <w:outlineLvl w:val="2"/>
      </w:pPr>
      <w:r>
        <w:t>La pubblicità, l’ammontare della cauzione e le condizioni della vendita sono regolate dalle “Disposizioni generali in materia di vendite immobiliari” sopra menzionate.</w:t>
      </w:r>
    </w:p>
    <w:p w:rsidR="00616C35" w:rsidRDefault="00616C35" w:rsidP="00616C35">
      <w:pPr>
        <w:spacing w:line="360" w:lineRule="auto"/>
        <w:rPr>
          <w:rFonts w:eastAsia="Arial Unicode MS"/>
        </w:rPr>
      </w:pPr>
      <w:r>
        <w:rPr>
          <w:rFonts w:eastAsia="Arial Unicode MS"/>
        </w:rPr>
        <w:t>Ammontare della cauzione: 10% del prezzo offerto.</w:t>
      </w:r>
    </w:p>
    <w:p w:rsidR="00616C35" w:rsidRDefault="00616C35" w:rsidP="00616C35">
      <w:pPr>
        <w:widowControl w:val="0"/>
        <w:suppressAutoHyphens/>
        <w:spacing w:line="360" w:lineRule="auto"/>
        <w:rPr>
          <w:rFonts w:eastAsia="Arial Unicode MS"/>
        </w:rPr>
      </w:pPr>
      <w:r>
        <w:rPr>
          <w:rFonts w:eastAsia="Arial Unicode MS"/>
          <w:b/>
        </w:rPr>
        <w:t>Modalità di prestazione della cauzione:</w:t>
      </w:r>
      <w:r>
        <w:rPr>
          <w:rFonts w:eastAsia="Arial Unicode MS"/>
        </w:rPr>
        <w:t xml:space="preserve"> </w:t>
      </w:r>
      <w:r>
        <w:rPr>
          <w:rFonts w:eastAsia="Arial Unicode MS"/>
          <w:b/>
        </w:rPr>
        <w:t xml:space="preserve">esclusivamente con </w:t>
      </w:r>
      <w:r>
        <w:rPr>
          <w:rFonts w:eastAsia="Arial Unicode MS"/>
          <w:b/>
          <w:u w:val="single"/>
        </w:rPr>
        <w:t>bonifico bancario</w:t>
      </w:r>
      <w:r>
        <w:rPr>
          <w:rFonts w:eastAsia="Arial Unicode MS"/>
          <w:b/>
        </w:rPr>
        <w:t xml:space="preserve"> sul c/c indicato dal professionista delegato alla vendita nell’avviso di vendita</w:t>
      </w:r>
      <w:r>
        <w:rPr>
          <w:rFonts w:eastAsia="Arial Unicode MS"/>
        </w:rPr>
        <w:t xml:space="preserve">. Il versamento della cauzione deve essere effettuato almeno tre (3) giorni (esclusi sabato, domenica e festivi) prima della scadenza del termine per la presentazione della domanda, </w:t>
      </w:r>
      <w:r w:rsidR="00EB77CD">
        <w:rPr>
          <w:rFonts w:eastAsia="Arial Unicode MS"/>
        </w:rPr>
        <w:t>affinché</w:t>
      </w:r>
      <w:r>
        <w:rPr>
          <w:rFonts w:eastAsia="Arial Unicode MS"/>
        </w:rPr>
        <w:t xml:space="preserve"> sia consentita all’offerente la verifica del buon fine dell’accredito della somma versata. Nell’offerta telematica devono essere indicati la data, l’orario e il numero di CRO del bonifico effettuato per il versamento d</w:t>
      </w:r>
      <w:r w:rsidR="00EB77CD">
        <w:rPr>
          <w:rFonts w:eastAsia="Arial Unicode MS"/>
        </w:rPr>
        <w:t xml:space="preserve">ella cauzione (art. 12, co. 1, </w:t>
      </w:r>
      <w:proofErr w:type="spellStart"/>
      <w:r>
        <w:rPr>
          <w:rFonts w:eastAsia="Arial Unicode MS"/>
        </w:rPr>
        <w:t>lett</w:t>
      </w:r>
      <w:proofErr w:type="spellEnd"/>
      <w:r>
        <w:rPr>
          <w:rFonts w:eastAsia="Arial Unicode MS"/>
        </w:rPr>
        <w:t>. l D.M. n. 32/2015).</w:t>
      </w:r>
    </w:p>
    <w:p w:rsidR="00616C35" w:rsidRDefault="00616C35" w:rsidP="00616C35">
      <w:pPr>
        <w:widowControl w:val="0"/>
        <w:suppressAutoHyphens/>
        <w:spacing w:line="360" w:lineRule="auto"/>
        <w:rPr>
          <w:rFonts w:eastAsia="Arial Unicode MS"/>
        </w:rPr>
      </w:pPr>
      <w:r>
        <w:rPr>
          <w:rFonts w:eastAsia="Arial Unicode MS"/>
        </w:rPr>
        <w:t>Termine entro il quale il prezzo deve essere depositato: entro e non oltre 60 giorni dall’aggiudicazione (il termine va specificato nella domanda).</w:t>
      </w:r>
    </w:p>
    <w:p w:rsidR="00616C35" w:rsidRDefault="00616C35" w:rsidP="00616C35">
      <w:pPr>
        <w:widowControl w:val="0"/>
        <w:suppressAutoHyphens/>
        <w:spacing w:line="360" w:lineRule="auto"/>
        <w:rPr>
          <w:rFonts w:eastAsia="Arial Unicode MS"/>
        </w:rPr>
      </w:pPr>
      <w:r>
        <w:rPr>
          <w:rFonts w:eastAsia="Arial Unicode MS"/>
        </w:rPr>
        <w:t>Modalità del deposito del prezzo di aggiudicazione: versamento sul conto corrente aperto dal professionista delegato alla vendita.</w:t>
      </w:r>
    </w:p>
    <w:p w:rsidR="00616C35" w:rsidRDefault="00616C35" w:rsidP="00616C35">
      <w:pPr>
        <w:widowControl w:val="0"/>
        <w:suppressAutoHyphens/>
        <w:spacing w:line="360" w:lineRule="auto"/>
        <w:rPr>
          <w:rFonts w:eastAsia="Arial Unicode MS"/>
        </w:rPr>
      </w:pPr>
    </w:p>
    <w:p w:rsidR="00616C35" w:rsidRDefault="00616C35" w:rsidP="00616C35">
      <w:pPr>
        <w:widowControl w:val="0"/>
        <w:suppressAutoHyphens/>
        <w:spacing w:line="360" w:lineRule="auto"/>
        <w:jc w:val="center"/>
        <w:rPr>
          <w:rFonts w:eastAsia="Arial Unicode MS"/>
          <w:b/>
          <w:u w:val="single"/>
        </w:rPr>
      </w:pPr>
    </w:p>
    <w:p w:rsidR="00616C35" w:rsidRDefault="00616C35" w:rsidP="00616C35">
      <w:pPr>
        <w:widowControl w:val="0"/>
        <w:suppressAutoHyphens/>
        <w:spacing w:line="360" w:lineRule="auto"/>
        <w:jc w:val="center"/>
        <w:rPr>
          <w:rFonts w:eastAsia="Arial Unicode MS"/>
          <w:b/>
          <w:u w:val="single"/>
        </w:rPr>
      </w:pPr>
      <w:r>
        <w:rPr>
          <w:rFonts w:eastAsia="Arial Unicode MS"/>
          <w:b/>
          <w:u w:val="single"/>
        </w:rPr>
        <w:t>CONTENUTO DELLA DELEGA DELLE OPERAZIONI DI VENDITA</w:t>
      </w:r>
    </w:p>
    <w:p w:rsidR="00616C35" w:rsidRDefault="00616C35" w:rsidP="00616C35">
      <w:pPr>
        <w:widowControl w:val="0"/>
        <w:suppressAutoHyphens/>
        <w:spacing w:line="360" w:lineRule="auto"/>
        <w:jc w:val="center"/>
        <w:rPr>
          <w:rFonts w:eastAsia="Arial Unicode MS"/>
        </w:rPr>
      </w:pPr>
    </w:p>
    <w:p w:rsidR="00616C35" w:rsidRDefault="00616C35" w:rsidP="00616C35">
      <w:pPr>
        <w:widowControl w:val="0"/>
        <w:suppressAutoHyphens/>
        <w:spacing w:line="360" w:lineRule="auto"/>
        <w:jc w:val="center"/>
        <w:rPr>
          <w:rFonts w:eastAsia="Arial Unicode MS"/>
          <w:b/>
        </w:rPr>
      </w:pPr>
      <w:r>
        <w:rPr>
          <w:rFonts w:eastAsia="Arial Unicode MS"/>
          <w:b/>
        </w:rPr>
        <w:t>IL GIUDICE DELL’ESECUZIONE</w:t>
      </w:r>
    </w:p>
    <w:p w:rsidR="00616C35" w:rsidRDefault="00616C35" w:rsidP="00616C35">
      <w:pPr>
        <w:widowControl w:val="0"/>
        <w:suppressAutoHyphens/>
        <w:spacing w:line="360" w:lineRule="auto"/>
        <w:jc w:val="center"/>
        <w:rPr>
          <w:rFonts w:eastAsia="Arial Unicode MS"/>
        </w:rPr>
      </w:pPr>
    </w:p>
    <w:p w:rsidR="00616C35" w:rsidRDefault="00616C35" w:rsidP="00616C35">
      <w:pPr>
        <w:widowControl w:val="0"/>
        <w:suppressAutoHyphens/>
        <w:spacing w:line="360" w:lineRule="auto"/>
        <w:rPr>
          <w:rFonts w:eastAsia="Arial Unicode MS"/>
          <w:b/>
        </w:rPr>
      </w:pPr>
      <w:r>
        <w:rPr>
          <w:rFonts w:eastAsia="Arial Unicode MS"/>
          <w:b/>
        </w:rPr>
        <w:t xml:space="preserve">visti gli artt. 559 e 591 bis </w:t>
      </w:r>
      <w:proofErr w:type="spellStart"/>
      <w:r>
        <w:rPr>
          <w:rFonts w:eastAsia="Arial Unicode MS"/>
          <w:b/>
        </w:rPr>
        <w:t>cpc</w:t>
      </w:r>
      <w:proofErr w:type="spellEnd"/>
      <w:r>
        <w:rPr>
          <w:rFonts w:eastAsia="Arial Unicode MS"/>
          <w:b/>
        </w:rPr>
        <w:t>;</w:t>
      </w:r>
    </w:p>
    <w:p w:rsidR="00616C35" w:rsidRDefault="00616C35" w:rsidP="00616C35">
      <w:pPr>
        <w:widowControl w:val="0"/>
        <w:suppressAutoHyphens/>
        <w:spacing w:line="360" w:lineRule="auto"/>
        <w:jc w:val="center"/>
        <w:rPr>
          <w:rFonts w:eastAsia="Arial Unicode MS"/>
          <w:b/>
        </w:rPr>
      </w:pPr>
      <w:r>
        <w:rPr>
          <w:rFonts w:eastAsia="Arial Unicode MS"/>
          <w:b/>
        </w:rPr>
        <w:t>DISPONE</w:t>
      </w:r>
    </w:p>
    <w:p w:rsidR="00616C35" w:rsidRDefault="00616C35" w:rsidP="00616C35">
      <w:pPr>
        <w:widowControl w:val="0"/>
        <w:suppressAutoHyphens/>
        <w:spacing w:line="360" w:lineRule="auto"/>
        <w:rPr>
          <w:rFonts w:eastAsia="Arial Unicode MS"/>
          <w:b/>
        </w:rPr>
      </w:pPr>
      <w:r>
        <w:rPr>
          <w:rFonts w:eastAsia="Arial Unicode MS"/>
          <w:b/>
        </w:rPr>
        <w:t>che il professionista delegato alla vendita sia dotato dei seguenti poteri e provveda ai seguenti incombenti:</w:t>
      </w:r>
    </w:p>
    <w:p w:rsidR="00616C35" w:rsidRDefault="00616C35" w:rsidP="00616C35">
      <w:pPr>
        <w:widowControl w:val="0"/>
        <w:suppressAutoHyphens/>
        <w:spacing w:line="360" w:lineRule="auto"/>
        <w:rPr>
          <w:rFonts w:eastAsia="Arial Unicode MS"/>
          <w:b/>
          <w:i/>
        </w:rPr>
      </w:pPr>
    </w:p>
    <w:p w:rsidR="00616C35" w:rsidRDefault="00616C35" w:rsidP="00616C35">
      <w:pPr>
        <w:widowControl w:val="0"/>
        <w:numPr>
          <w:ilvl w:val="0"/>
          <w:numId w:val="2"/>
        </w:numPr>
        <w:suppressAutoHyphens/>
        <w:spacing w:line="360" w:lineRule="auto"/>
        <w:rPr>
          <w:rFonts w:eastAsia="Arial Unicode MS"/>
        </w:rPr>
      </w:pPr>
      <w:r>
        <w:rPr>
          <w:rFonts w:eastAsia="Arial Unicode MS"/>
          <w:b/>
        </w:rPr>
        <w:t>Compiti e poteri in qualità di delegato alle operazioni di vendita:</w:t>
      </w:r>
    </w:p>
    <w:p w:rsidR="00616C35" w:rsidRDefault="00616C35" w:rsidP="00616C35">
      <w:pPr>
        <w:widowControl w:val="0"/>
        <w:suppressAutoHyphens/>
        <w:spacing w:line="360" w:lineRule="auto"/>
        <w:ind w:left="708"/>
        <w:jc w:val="center"/>
        <w:rPr>
          <w:rFonts w:eastAsia="Arial Unicode MS"/>
          <w:color w:val="FF0000"/>
        </w:rPr>
      </w:pPr>
    </w:p>
    <w:p w:rsidR="00616C35" w:rsidRDefault="00616C35" w:rsidP="00616C35">
      <w:pPr>
        <w:widowControl w:val="0"/>
        <w:suppressAutoHyphens/>
        <w:spacing w:line="360" w:lineRule="auto"/>
        <w:ind w:left="708"/>
        <w:jc w:val="center"/>
        <w:rPr>
          <w:rFonts w:eastAsia="Arial Unicode MS"/>
        </w:rPr>
      </w:pPr>
      <w:r>
        <w:rPr>
          <w:rFonts w:eastAsia="Arial Unicode MS"/>
        </w:rPr>
        <w:t>ATTIVITA’ RELATIVE ALLA VENDITA</w:t>
      </w:r>
    </w:p>
    <w:p w:rsidR="00616C35" w:rsidRDefault="00616C35" w:rsidP="00616C35">
      <w:pPr>
        <w:widowControl w:val="0"/>
        <w:suppressAutoHyphens/>
        <w:spacing w:line="360" w:lineRule="auto"/>
        <w:ind w:left="708"/>
        <w:jc w:val="center"/>
        <w:rPr>
          <w:rFonts w:eastAsia="Arial Unicode MS"/>
        </w:rPr>
      </w:pPr>
    </w:p>
    <w:p w:rsidR="00616C35" w:rsidRDefault="00616C35" w:rsidP="00616C35">
      <w:pPr>
        <w:widowControl w:val="0"/>
        <w:numPr>
          <w:ilvl w:val="1"/>
          <w:numId w:val="2"/>
        </w:numPr>
        <w:suppressAutoHyphens/>
        <w:spacing w:line="360" w:lineRule="auto"/>
        <w:ind w:left="426" w:hanging="426"/>
        <w:rPr>
          <w:rFonts w:eastAsia="Arial Unicode MS"/>
        </w:rPr>
      </w:pPr>
      <w:r>
        <w:rPr>
          <w:rFonts w:eastAsia="Arial Unicode MS"/>
        </w:rPr>
        <w:t>al controllo della titolarità in capo al/i debitore/i esecutato/i dei diritti reali oggetto di apprensione esecutiva, sulla base della documentazione tavolare depositata dal creditore procedente e della relazione dell’esperto già nominato da questo Giudice ai sensi dell’art. 568 c.p.c., e, nell’ipotesi in cui riscontri una discordanza tra diritti pignorati e reale consistenza degli stessi, ad informarne questo Giudice trasmettendogli gli atti senza indugio;</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al controllo dello stato di diritto in cui si trovano gli immobili;</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alla apertura di un conto corrente principale della procedura su indicazioni della Cancelleria (c.d. conto cauzione, ovvero conto dedicato alla gestione della procedura); sul medesimo conto il creditore procedente verserà, entro 10 giorni dalla comunicazione del codice IBAN da parte del delegato, il fondo spese nell’ammontare di </w:t>
      </w:r>
      <w:r>
        <w:rPr>
          <w:rFonts w:eastAsia="Arial Unicode MS"/>
          <w:b/>
          <w:u w:val="single"/>
        </w:rPr>
        <w:t>€ 2.500,00</w:t>
      </w:r>
      <w:r>
        <w:rPr>
          <w:rFonts w:eastAsia="Arial Unicode MS"/>
        </w:rPr>
        <w:t xml:space="preserve">; in caso di mancato versamento del fondo spese, il professionista delegato relazionerà immediatamente al Giudice dell’esecuzione, il quale si riserverà di provvedere di conseguenza; </w:t>
      </w:r>
      <w:r>
        <w:rPr>
          <w:rFonts w:eastAsia="Arial Unicode MS"/>
          <w:b/>
          <w:u w:val="single"/>
        </w:rPr>
        <w:t xml:space="preserve">in caso di esaurimento del fondo spese, il creditore procedente è tenuto a ricostituire il fondo spese a seconda delle istruzioni del delegato, nei limiti di € 2.500,00. </w:t>
      </w:r>
    </w:p>
    <w:p w:rsidR="00616C35" w:rsidRDefault="00616C35" w:rsidP="00616C35">
      <w:pPr>
        <w:widowControl w:val="0"/>
        <w:suppressAutoHyphens/>
        <w:spacing w:line="360" w:lineRule="auto"/>
        <w:ind w:left="360"/>
        <w:rPr>
          <w:b/>
          <w:u w:val="single"/>
        </w:rPr>
      </w:pPr>
      <w:r>
        <w:rPr>
          <w:rFonts w:eastAsia="Arial Unicode MS"/>
        </w:rPr>
        <w:t xml:space="preserve">Il creditore procedente è tenuto altresì a versare </w:t>
      </w:r>
      <w:r>
        <w:t xml:space="preserve">le somme necessarie per la pubblicazione sul Portale delle Vendite Pubbliche pari a </w:t>
      </w:r>
      <w:r>
        <w:rPr>
          <w:b/>
          <w:u w:val="single"/>
        </w:rPr>
        <w:t xml:space="preserve">€ 100,00 per ciascun lotto posto in vendita in ogni esperimento di vendita; tale pagamento dovrà essere effettuato dal legale del creditore procedente, tramite accesso al portale P.S.T. (Portale Servizi Telematici), entro e non oltre 10 giorni dalla richiesta del professionista delegato che quantificherà l’importo da pagare </w:t>
      </w:r>
      <w:r>
        <w:rPr>
          <w:b/>
          <w:u w:val="single"/>
        </w:rPr>
        <w:lastRenderedPageBreak/>
        <w:t xml:space="preserve">in base al numero dei lotti posti in vendita, </w:t>
      </w:r>
      <w:r>
        <w:rPr>
          <w:rFonts w:eastAsia="Arial Unicode MS"/>
          <w:b/>
          <w:u w:val="single"/>
        </w:rPr>
        <w:t>ed in ogni caso entro il</w:t>
      </w:r>
      <w:r>
        <w:rPr>
          <w:b/>
          <w:u w:val="single"/>
        </w:rPr>
        <w:t xml:space="preserve"> termine di sessanta giorni prima dell’esperimento di vendita. Entro il predetto termine il legale del creditore procedente dovrà far pervenire al delegato alla vendita la ricevuta telematica del pagamento per consentire l’espletamento della pubblicità sul P.V.P. </w:t>
      </w:r>
    </w:p>
    <w:p w:rsidR="00616C35" w:rsidRDefault="00616C35" w:rsidP="00616C35">
      <w:pPr>
        <w:widowControl w:val="0"/>
        <w:suppressAutoHyphens/>
        <w:spacing w:line="360" w:lineRule="auto"/>
        <w:ind w:left="360"/>
        <w:rPr>
          <w:rFonts w:eastAsia="Arial Unicode MS"/>
        </w:rPr>
      </w:pPr>
      <w:r>
        <w:rPr>
          <w:b/>
          <w:u w:val="single"/>
        </w:rPr>
        <w:t xml:space="preserve">SI AVVISA CHE, NEL CASO DI MANCATA EFFETTUAZIONE DELLA PUBBLICITÀ PER L’OMESSO VERSAMENTO DA PARTE DEL CREDITORE PROCEDENTE DI TALE ULTERIORE FONDO SPESE DESTINATO ESCLUSIVAMENTE ALLA PUBBLICITÀ SUL P.V.P., SI PROCEDERÀ AI SENSI DELL’ART. 631 </w:t>
      </w:r>
      <w:r>
        <w:rPr>
          <w:b/>
          <w:i/>
          <w:u w:val="single"/>
        </w:rPr>
        <w:t>BIS</w:t>
      </w:r>
      <w:r>
        <w:rPr>
          <w:b/>
          <w:u w:val="single"/>
        </w:rPr>
        <w:t xml:space="preserve"> C.P.C. </w:t>
      </w:r>
      <w:r>
        <w:rPr>
          <w:rFonts w:eastAsia="Arial Unicode MS"/>
          <w:b/>
          <w:u w:val="single"/>
        </w:rPr>
        <w:t xml:space="preserve"> ALL’IMMEDIATA DICHIARAZIONE DI ESTINZIONE DELLA PROCEDURA.</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b/>
          <w:u w:val="single"/>
        </w:rPr>
        <w:t>al deposito, entro il termine di 30 gg. dalla comunicazione della nomina a delegato della vendita, del rapporto riepilogativo iniziale delle attività svolte e, successivamente, a cadenza semestrale (decorrente dalla data del deposito del primo rapporto) al deposito di un rapporto riepilogativo periodico delle attività svolte, ivi comprese quelle di custodia a lui affidate;</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 formare l’avviso di vendita secondo il disposto dell’art. 570 c.p.c. e le istruzioni contenute nelle </w:t>
      </w:r>
      <w:r>
        <w:t xml:space="preserve">“Disposizioni generali in materia di vendite immobiliari” di cui sopra, come da modello reperibile sul sito del Tribunale di Bolzano nella Sezione “Servizi per i professionisti” - “Linee guida per le esecuzioni immobiliari” (link: </w:t>
      </w:r>
      <w:hyperlink r:id="rId7" w:history="1">
        <w:r>
          <w:rPr>
            <w:rStyle w:val="Collegamentoipertestuale"/>
          </w:rPr>
          <w:t>http://www.tribunale.bolzano.it/it/Content/Index/15077</w:t>
        </w:r>
      </w:hyperlink>
      <w:r>
        <w:t>.</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 fissare in un termine non inferiore a 90 giorni e non superiore a 120 giorni dalla comunicazione del presente provvedimento per la presentazione delle offerte di acquisto per ciascuno dei beni pignorati, presentazione delle offerte che dovrà avvenire, entro le ore </w:t>
      </w:r>
      <w:smartTag w:uri="urn:schemas-microsoft-com:office:smarttags" w:element="time">
        <w:smartTagPr>
          <w:attr w:name="Minute" w:val="00"/>
          <w:attr w:name="Hour" w:val="12"/>
        </w:smartTagPr>
        <w:r>
          <w:rPr>
            <w:rFonts w:eastAsia="Arial Unicode MS"/>
          </w:rPr>
          <w:t>12.00</w:t>
        </w:r>
      </w:smartTag>
      <w:r>
        <w:rPr>
          <w:rFonts w:eastAsia="Arial Unicode MS"/>
        </w:rPr>
        <w:t xml:space="preserve"> dell’ultimo giorno di detto termine, presso la cancelleria delle esecuzioni immobiliari del Tribunale di Bolzano (per le offerte analogiche), e tramite il Gestore della vendita telematica sopra indicato e secondo quanto disposto dall’art. 22  D.M. n. 32/2015 (per le offerte telematiche).;</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bCs/>
        </w:rPr>
        <w:t xml:space="preserve">a </w:t>
      </w:r>
      <w:r>
        <w:rPr>
          <w:rFonts w:eastAsia="Arial Unicode MS"/>
        </w:rPr>
        <w:t>fissare al giorno successivo alla scadenza del termine di cui al punto precedente la convocazione delle parti e degli offerenti (in via analogica) davanti a sé, per la deliberazione sull’offerta e per l’eventuale gara tra gli offerenti, presso il Tribunale di Bolzano, terzo piano, Aula F nelle giornate e negli orari prestabiliti, previa prenotazione informatica utilizzando la piattaforma del gestionale Astalegale.Net; coloro che hanno formulato l’offerta o la domanda con modalità telematiche partecipano alle operazioni di vendita esclusivamente con le modalità telematiche;</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 dare avviso ai creditori della data, dell’ora e del luogo della vendita, con preavviso almeno di 40 giorni (anche notifica ai creditori iscritti non intervenuti e al debitore esecutato, art. 569 ultimo comma </w:t>
      </w:r>
      <w:proofErr w:type="spellStart"/>
      <w:r>
        <w:rPr>
          <w:rFonts w:eastAsia="Arial Unicode MS"/>
        </w:rPr>
        <w:t>cpc</w:t>
      </w:r>
      <w:proofErr w:type="spellEnd"/>
      <w:r>
        <w:rPr>
          <w:rFonts w:eastAsia="Arial Unicode MS"/>
        </w:rPr>
        <w:t xml:space="preserve">) </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alla pubblicità obbligatoria sul P.V.P. (artt. 490, co. 1 e 631 bis c.p.c.) e sui siti internet indicati </w:t>
      </w:r>
      <w:r>
        <w:rPr>
          <w:rFonts w:eastAsia="Arial Unicode MS"/>
        </w:rPr>
        <w:lastRenderedPageBreak/>
        <w:t xml:space="preserve">nelle </w:t>
      </w:r>
      <w:r>
        <w:t>“Disposizioni generali in materia di vendite immobiliari” sopra richiamate</w:t>
      </w:r>
      <w:r>
        <w:rPr>
          <w:rFonts w:eastAsia="Arial Unicode MS"/>
        </w:rPr>
        <w:t xml:space="preserve"> (art. 490, co. 2 c.p.c.), oltre che sui quotidiani sempre indicati nelle </w:t>
      </w:r>
      <w:r>
        <w:t>“Disposizioni generali in materia di vendite immobiliari”</w:t>
      </w:r>
      <w:r>
        <w:rPr>
          <w:rFonts w:eastAsia="Arial Unicode MS"/>
        </w:rPr>
        <w:t>, autorizzando sin da ora il delegato e senza necessità di ulteriore apposita autorizzazione a prelevare dal conto della procedura le somme necessarie per l’esecuzione delle pubblicità; le fatture relative ai servizi pubblicitari richiesti, così come le fatture relative ad ogni altra spesa della procedura sostenuta,  dovranno essere intestate a nome del creditore che ha versato i relativi fondi;</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al ritiro presso la Cancelleria delle buste depositate dagli offerenti e al ricevimento delle offerte telematiche in seguito alle verifiche da parte del gestore ai sensi dell’art. 17 DM n. 32 del 2015;</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all’esame delle offerte pervenute e della congruità della cauzione prestata, secondo le modalità indicate nella presente ordinanza;</w:t>
      </w:r>
    </w:p>
    <w:p w:rsidR="00616C35" w:rsidRDefault="00616C35" w:rsidP="00616C35">
      <w:pPr>
        <w:widowControl w:val="0"/>
        <w:numPr>
          <w:ilvl w:val="1"/>
          <w:numId w:val="2"/>
        </w:numPr>
        <w:suppressAutoHyphens/>
        <w:spacing w:line="360" w:lineRule="auto"/>
      </w:pPr>
      <w:r>
        <w:rPr>
          <w:rFonts w:eastAsia="Arial Unicode MS"/>
        </w:rPr>
        <w:t>a escludere le offerte non conformi a quanto disposto in questa ordinanza, indicandone i motivi in apposito verbale;</w:t>
      </w:r>
    </w:p>
    <w:p w:rsidR="00616C35" w:rsidRDefault="00616C35" w:rsidP="00616C35">
      <w:pPr>
        <w:widowControl w:val="0"/>
        <w:numPr>
          <w:ilvl w:val="1"/>
          <w:numId w:val="2"/>
        </w:numPr>
        <w:suppressAutoHyphens/>
        <w:spacing w:line="360" w:lineRule="auto"/>
      </w:pPr>
      <w:r>
        <w:rPr>
          <w:rFonts w:eastAsia="Arial Unicode MS"/>
        </w:rPr>
        <w:t>all’effettuazione della gara ex art. 571 c.p.c. e ss. nel giorno ed ora indicato q</w:t>
      </w:r>
      <w:r>
        <w:t xml:space="preserve">ualora per l’acquisto del medesimo bene siano state proposte più offerte valide, con partecipazione, sulla base dell’offerta più alta, degli offerenti telematici che vi prenderanno parte in via telematica e degli offerenti analogici che vi prenderanno parte comparendo personalmente o per mezzo di delegato o di procuratore legale ai sensi dell’art. 579 c.p.c. come da indicazioni specifiche contenute nelle condizioni generali di vendita. Nel corso di tale gara ciascuna offerta in aumento, da effettuarsi nel termine di un minuto dall’offerta precedente, non potrà essere inferiore al rilancio minimo, come determinato nell’avviso di vendita. I rilanci effettuati in via telematica dovranno essere riportati nel portale del gestore della vendita telematica e resi visibili a coloro che parteciperanno personalmente alle operazioni di vendita così come i rilanci effettuati da questi ultimi dovranno essere riportati nel portale del gestore della vendita telematica e resi visibili ai partecipanti in via telematica. Il termine di un minuto per il rilancio decorrerà dal momento indicato dal professionista delegato, previo accertamento della visibilità della precedente offerta per tutti i partecipanti. E’ rimessa </w:t>
      </w:r>
      <w:r w:rsidR="00EB77CD">
        <w:t>al professionista</w:t>
      </w:r>
      <w:r>
        <w:t xml:space="preserve"> delegato la valutazione dell’ordine con il quale i rilanci vengono effettuati.   Il professionista delegato alla vendita pronuncia </w:t>
      </w:r>
      <w:r>
        <w:rPr>
          <w:rFonts w:eastAsia="Arial Unicode MS"/>
        </w:rPr>
        <w:t xml:space="preserve">l’aggiudicazione a favore del maggior offerente (allorché sia trascorso </w:t>
      </w:r>
      <w:r>
        <w:t xml:space="preserve">un minuto </w:t>
      </w:r>
      <w:r>
        <w:rPr>
          <w:rFonts w:eastAsia="Arial Unicode MS"/>
        </w:rPr>
        <w:t xml:space="preserve">dall’ultima offerta senza che ne segua un’altra maggiore, l’immobile è aggiudicato all’ultimo offerente); </w:t>
      </w:r>
    </w:p>
    <w:p w:rsidR="00616C35" w:rsidRDefault="00616C35" w:rsidP="00616C35">
      <w:pPr>
        <w:pStyle w:val="formul4"/>
        <w:numPr>
          <w:ilvl w:val="1"/>
          <w:numId w:val="2"/>
        </w:numPr>
        <w:spacing w:line="360" w:lineRule="auto"/>
        <w:ind w:left="360"/>
        <w:rPr>
          <w:rFonts w:eastAsia="Arial Unicode MS"/>
          <w:sz w:val="24"/>
          <w:szCs w:val="24"/>
          <w:lang w:val="it-IT"/>
        </w:rPr>
      </w:pPr>
      <w:r>
        <w:rPr>
          <w:sz w:val="24"/>
          <w:szCs w:val="24"/>
          <w:lang w:val="it-IT"/>
        </w:rPr>
        <w:t xml:space="preserve">a deliberare sulle offerte di acquisto redigendo verbale delle relative operazioni, anche attraverso i dati riportati nel portale delle vendite telematiche e quelli immessi nel corso delle operazioni, depositando copia del verbale nel fascicolo dell’esecuzione; il verbale deve contenere le </w:t>
      </w:r>
      <w:r>
        <w:rPr>
          <w:sz w:val="24"/>
          <w:szCs w:val="24"/>
          <w:lang w:val="it-IT"/>
        </w:rPr>
        <w:lastRenderedPageBreak/>
        <w:t>circostanze di luogo e di tempo nelle quali la vendita si svolge, le generalità degli offerenti, la descrizione delle attività svolte, la dichiarazione dell’aggiudicazione con l’identificazione dell’aggiudicatario e le altre prescrizioni indicate dall’art. 23 del Decreto Ministeriale 26 febbraio 2015 n. 32; il verbale è sottoscritto esclusivamente dal professionista delegato e allo stesso non deve essere allegata la procura speciale di cui all’art. 579, co. 2, c.p.c.</w:t>
      </w:r>
      <w:r>
        <w:rPr>
          <w:rFonts w:eastAsia="Arial Unicode MS"/>
          <w:sz w:val="24"/>
          <w:szCs w:val="24"/>
          <w:lang w:val="it-IT"/>
        </w:rPr>
        <w:t>;</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nell’ipotesi di vendita di più lotti, a cessare le operazioni di incanto, ai sensi dell’art. 504 c.p.c. e dell’art. 163 disp. att. c.p.c., ove, per effetto dell’aggiudicazione di uno o più lotti, sia stata già conseguita una somma pari all’ammontare complessivo dei crediti per cui si procede e delle spese, riferendone immediatamente a questo Giudice; le spese legali della procedura saranno valutate dal delegato prudenzialmente, tenuto conto per gli onorari degli avvocati i valori medi di riferimento di cui al d.m. 55/2014;</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 a disporre, al termine del compimento delle operazioni di vendita, la restituzione delle cauzioni versate dagli offerenti (in via analogica) non resisi aggiudicatari dei beni venduti, nonché a disporre </w:t>
      </w:r>
      <w:r>
        <w:rPr>
          <w:lang w:eastAsia="en-US"/>
        </w:rPr>
        <w:t>la restituzione delle cauzioni versate dagli offerenti (in via telematica) non resisi aggiudicatari dei</w:t>
      </w:r>
      <w:r>
        <w:t xml:space="preserve"> </w:t>
      </w:r>
      <w:r>
        <w:rPr>
          <w:lang w:eastAsia="en-US"/>
        </w:rPr>
        <w:t xml:space="preserve">beni venduti, </w:t>
      </w:r>
      <w:r>
        <w:t>mediante bonifico sul conto corrente dal quale le cauzioni risultano inviate</w:t>
      </w:r>
      <w:r>
        <w:rPr>
          <w:lang w:eastAsia="en-US"/>
        </w:rPr>
        <w:t xml:space="preserve"> </w:t>
      </w:r>
      <w:r>
        <w:rPr>
          <w:rFonts w:eastAsia="Arial Unicode MS"/>
        </w:rPr>
        <w:t>(senza necessità, per tale incombente, di ulteriore delega o controfirma del sottoscritto G.E. per approvazione);</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 ricevere o autenticare la dichiarazione di nomina ex art. 583 c.p.c.;</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 fissare, dopo l’aggiudicazione dell’ultimo lotto posto in vendita, e di concerto con il Giudice dell’Esecuzione, l’udienza dinanzi al G.E. per la decisione ex art. 512 c.p.c. sulle eventuali controversie e contestazioni pervenute sul progetto di distribuzione e per la dichiarazione di esecutorietà del progetto, da comunicarsi contestualmente ai creditori presenti alla vendita. </w:t>
      </w:r>
    </w:p>
    <w:p w:rsidR="00616C35" w:rsidRDefault="00616C35" w:rsidP="00616C35">
      <w:pPr>
        <w:widowControl w:val="0"/>
        <w:suppressAutoHyphens/>
        <w:spacing w:line="360" w:lineRule="auto"/>
        <w:ind w:left="360"/>
        <w:jc w:val="center"/>
        <w:rPr>
          <w:rFonts w:eastAsia="Arial Unicode MS"/>
          <w:b/>
        </w:rPr>
      </w:pPr>
      <w:r>
        <w:rPr>
          <w:rFonts w:eastAsia="Arial Unicode MS"/>
          <w:b/>
        </w:rPr>
        <w:t xml:space="preserve">ATTIVITA’ SUCCESSIVE AL </w:t>
      </w:r>
      <w:r>
        <w:rPr>
          <w:rFonts w:eastAsia="Arial Unicode MS"/>
          <w:b/>
          <w:u w:val="single"/>
        </w:rPr>
        <w:t xml:space="preserve">PRIMO ESPERIMENTO </w:t>
      </w:r>
      <w:r>
        <w:rPr>
          <w:rFonts w:eastAsia="Arial Unicode MS"/>
          <w:b/>
        </w:rPr>
        <w:t>DI VENDITA</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 comunicare all’esperto stimatore l’avvenuta aggiudicazione del bene; </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 comunicare all’aggiudicatario, entro 10 giorni dall’aggiudicazione, tenendo conto delle somme già versate, l’ammontare del residuo prezzo da versare sul “conto cauzione” (per la gestione della procedura), e delle spese nella misura forfettaria del 15% sul prezzo di aggiudicazione (la cui misura definitiva verrà calcolata dall’Agenzia delle Entrate) da versare sul “conto spese trasferimento” (per la gestione delle spese del decreto di trasferimento), che all’uopo aprirà, e le coordinate bancarie dei detti conti;</w:t>
      </w:r>
    </w:p>
    <w:p w:rsidR="00616C35" w:rsidRDefault="00616C35" w:rsidP="00616C35">
      <w:pPr>
        <w:widowControl w:val="0"/>
        <w:suppressAutoHyphens/>
        <w:spacing w:line="360" w:lineRule="auto"/>
        <w:ind w:left="360"/>
        <w:rPr>
          <w:b/>
          <w:color w:val="000000"/>
        </w:rPr>
      </w:pPr>
      <w:r>
        <w:rPr>
          <w:color w:val="000000"/>
        </w:rPr>
        <w:t>inoltre, il delegato comunicherà all’aggiudicatario l’importo di cui all’art. 2 comma 7 del DM (Giustizia) 15 ottobre 2015, n. 227 a suo carico, che dovrà essere versato dall’aggiudicatario o assegnatario, contestualmente al versamento delle spese forfettarie del 15%, sul “conto spese trasferimento”;</w:t>
      </w:r>
      <w:r>
        <w:rPr>
          <w:b/>
          <w:color w:val="000000"/>
        </w:rPr>
        <w:t xml:space="preserve"> </w:t>
      </w:r>
      <w:r>
        <w:rPr>
          <w:b/>
          <w:color w:val="000000"/>
          <w:u w:val="single"/>
        </w:rPr>
        <w:t xml:space="preserve">il delegato emette fattura all’aggiudicatario per l’importo corrisposto ed è </w:t>
      </w:r>
      <w:r>
        <w:rPr>
          <w:b/>
          <w:color w:val="000000"/>
          <w:u w:val="single"/>
        </w:rPr>
        <w:lastRenderedPageBreak/>
        <w:t>autorizzato a prelevare il corrispondete importo dal “conto spese trasferimento” in acconto sul proprio compenso di cui dovrà dare atto nella istanza di liquidazione del compenso finale;</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 riscuotere dall’aggiudicatario, nel termine fissato, gli importi di cui al punto 19).</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 dare tempestivo avviso del mancato versamento del saldo del prezzo di aggiudicazione nel termine fissato, per i provvedimenti di cui all’art. 587 c.p.c.;</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ad autorizzare l’assunzione di debiti da parte dell’aggiudicatario o dell’assegnatario ex art. 508 c.p.c. (nell’ipotesi di cui all’art. 585 comma 2° c.p.c. provvederà direttamente a limitare il versamento secondo quanto disposto);</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in caso di richiesta ex art. 41 T.U.B. avanzata dal creditore fondiario (il quale dovrà depositare nota riepilogativa del credito entro il termine di quindici giorni antecedenti il versamento del residuo prezzo), a calcolare approssimativamente le somme necessarie per la liquidazione dei compensi del professionista e del custode, delle imposte e delle spese per registrazione e intavolazione del decreto di trasferimento e per cancellazione dei gravami esistenti, nonché per l’eventuale definitiva liberazione del bene, ove una tale attività sia ancora da compiere; così calcolate le somme dovute alla procedura il delegato comunicherà quale parte del residuo prezzo dovrà essere versato dall’aggiudicatario direttamente al creditore fondiario e quale parte dovrà essere versato sul conto della procedura; il versamento al creditore fondiario di somme eccedenti le spettanze di questo sarà considerato un grave motivo ai fini della revoca dell’incarico ricevuto;</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ad effettuare, se del caso, la denuncia prevista dall’art. 59 D.Lgs. 42/2004 e le operazioni conseguenti previste dalla medesima disciplina;</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 predisporre la bozza del decreto di trasferimento (previa nuova verifica delle trascrizioni e iscrizioni pregiudizievoli gravanti sull’immobile), trasmettendolo, unitamente al fascicolo, senza indugio a questo Giudice per l’emanazione. Se il versamento del prezzo è avvenuto con l’erogazione a seguito di contratto di finanziamento che preveda il versamento diretto delle somme erogate in favore della procedura e la garanzia ipotecaria di primo grado sul medesimo immobile oggetto di vendita, nella bozza di decreto di trasferimento deve essere indicato tale atto. La bozza dovrà contenere altresì l’ordine di cancellazione dei gravami esistenti sull’immobile (cfr. 586 </w:t>
      </w:r>
      <w:proofErr w:type="spellStart"/>
      <w:r>
        <w:rPr>
          <w:rFonts w:eastAsia="Arial Unicode MS"/>
        </w:rPr>
        <w:t>cpc</w:t>
      </w:r>
      <w:proofErr w:type="spellEnd"/>
      <w:r>
        <w:rPr>
          <w:rFonts w:eastAsia="Arial Unicode MS"/>
        </w:rPr>
        <w:t>), anche se successivi alla trascrizione del pignoramento.</w:t>
      </w:r>
    </w:p>
    <w:p w:rsidR="00616C35" w:rsidRDefault="00616C35" w:rsidP="00616C35">
      <w:pPr>
        <w:widowControl w:val="0"/>
        <w:suppressAutoHyphens/>
        <w:spacing w:line="360" w:lineRule="auto"/>
        <w:ind w:left="360"/>
        <w:rPr>
          <w:rFonts w:eastAsia="Arial Unicode MS"/>
        </w:rPr>
      </w:pPr>
      <w:r>
        <w:rPr>
          <w:rFonts w:eastAsia="Arial Unicode MS"/>
        </w:rPr>
        <w:t xml:space="preserve">Dovrà allegare le dichiarazioni ai fini fiscali rese dall’aggiudicatario in originale, unitamente alla copia del documenti di identità e le dichiarazioni rese a norma del </w:t>
      </w:r>
      <w:proofErr w:type="spellStart"/>
      <w:r>
        <w:rPr>
          <w:rFonts w:eastAsia="Arial Unicode MS"/>
        </w:rPr>
        <w:t>d.p.r.</w:t>
      </w:r>
      <w:proofErr w:type="spellEnd"/>
      <w:r>
        <w:rPr>
          <w:rFonts w:eastAsia="Arial Unicode MS"/>
        </w:rPr>
        <w:t xml:space="preserve"> 445/2000 (ad es. in ordine ai profili di tassazione del trasferimento); attestazione circa la ricezione da parte del professionista delegato delle somme necessarie sia per il trasferimento che per le formalità successive poste a carico dell’aggiudicatario;</w:t>
      </w:r>
    </w:p>
    <w:p w:rsidR="00616C35" w:rsidRDefault="00616C35" w:rsidP="00616C35">
      <w:pPr>
        <w:widowControl w:val="0"/>
        <w:numPr>
          <w:ilvl w:val="1"/>
          <w:numId w:val="2"/>
        </w:numPr>
        <w:suppressAutoHyphens/>
        <w:spacing w:line="360" w:lineRule="auto"/>
        <w:ind w:left="284" w:hanging="284"/>
        <w:rPr>
          <w:rFonts w:eastAsia="Arial Unicode MS"/>
        </w:rPr>
      </w:pPr>
      <w:r>
        <w:rPr>
          <w:rFonts w:eastAsia="Arial Unicode MS"/>
        </w:rPr>
        <w:lastRenderedPageBreak/>
        <w:t>ad eseguire le formalità di registrazione, intavolazione presentando anche la domanda tavolare (rammentando che, nell’ipotesi disciplinata dall’art. 585 comma 3° c.p.c., “il conservatore del Libro Fondiario non può eseguire l’intavolazione del decreto se non unitamente all’intavolazione dell’ipoteca concessa dalla parte finanziata”) e voltura catastale del decreto di trasferimento, alla comunicazione dello stesso nei casi previsti per le comunicazioni di atti volontari di trasferimento, nonché all’espletamento delle formalità di cancellazione delle iscrizioni ipotecarie e di ogni trascrizione pregiudizievole conseguenti al decreto di trasferimento, anche formando le necessarie copie dell’originale del decreto di trasferimento o dell’ordine di cancellazione dei gravami che sarà esibito al professionista delegato dalla Cancelleria, la quale viene esonerata dalle predette attività in forza della disposizione di cui all’art. 591 bis comma 2° n. 5 c.p.c.;</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 trasmettere all’aggiudicatario copia autentica del decreto di trasferimento e a restituire allo stesso le somme residue che siano risultate eccedenti le spese occorrenti per il trasferimento, dandone comunque atto nel progetto di distribuzione;</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 procedere senza ritardo alla formale consegna del bene all’aggiudicatario, anche ove il bene sia legittimamente occupato da terzi (es. contratto di locazione opponile; diritto d’abitazione opponibile, o altro);</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 trasmettere, in qualità di custode, ogni 6 mesi un’aggiornata relazione sullo stato dell’immobile e sull’andamento delle procedure di liberazione;</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ai sensi dell’art. 164 disp. att. c.p.c., ad ogni altro incombente, anche di carattere fiscale, che ai termini di legge sia necessario o conseguente al trasferimento del bene;</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in caso di infruttuoso esperimento della prima vendita senza incanto - e di tutte le successive - alle condizioni sopra indicate e in mancanza di domande di assegnazione, a determinare il prezzo-base in misura inferiore di un quarto, avendo cura di indicare che l’offerta minima potrà essere pari al 75% del prezzo base così come ridotto; </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 fissare un nuovo termine non inferiore a 90 giorni, e non superiore a 120 giorni (salvi i casi in cui il delegato ritenga opportuno segnalare situazioni e circostanze particolari, che richiedano tempi diversi) per formulare offerte (analogiche e telematiche) con le modalità previste dall’art. 571 c.p.c. e dal DM n. 32/2015 e a fissare al giorno successivo, presso il Tribunale di Bolzano, terzo piano, Aula F nelle giornate e negli orari prestabiliti, previa prenotazione tramite la piattaforma telematica come sopra indicato, l’udienza prevista per gli incombenti per la vendita sincrona mista;</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 preparare l’avviso di tutte le vendita successive alla prima, secondo le modalità sopra stabilite, e a provvedere alla pubblicità obbligatoria sul P.V.P. (artt. 490, co. 1 e 631 bis c.p.c.) e sui siti internet indicati nelle </w:t>
      </w:r>
      <w:r>
        <w:t>“Disposizioni generali in materia di vendite immobiliari” sopra richiamate</w:t>
      </w:r>
      <w:r>
        <w:rPr>
          <w:rFonts w:eastAsia="Arial Unicode MS"/>
        </w:rPr>
        <w:t xml:space="preserve"> </w:t>
      </w:r>
      <w:r>
        <w:rPr>
          <w:rFonts w:eastAsia="Arial Unicode MS"/>
        </w:rPr>
        <w:lastRenderedPageBreak/>
        <w:t xml:space="preserve">(art. 490, co. 2 c.p.c.), oltre che sui quotidiani sempre indicati nelle </w:t>
      </w:r>
      <w:r>
        <w:t>“Disposizioni generali in materia di vendite immobiliari”</w:t>
      </w:r>
      <w:r>
        <w:rPr>
          <w:rFonts w:eastAsia="Arial Unicode MS"/>
        </w:rPr>
        <w:t>, autorizzando sin da ora il delegato e senza necessità di ulteriore apposita autorizzazione a prelevare dal conto della procedura le somme necessarie per l’esecuzione delle pubblicità; si rimanda al punto 3) per il contributo obbligatorio relativo alla pubblicità sul PVP.</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ad effettuare, anche per questi successivi esperimenti di vendita, tutte le attività oggetto della su estesa delega;</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 rimettere gli atti a questo Giudice dell’Esecuzione in caso di infruttuoso esperimento anche della terza vendita, unitamente ad una relazione su tutta l’attività compiuta, anche di custodia (con specifica indicazione degli accessi compiuti e delle richieste di visita ricevute ed effettuate), illustrando analiticamente le spese sostenute ed allegando gli estratti del conto corrente della procedura e specificando le ragioni che potrebbero avere ostacolato la vendita; il delegato dovrà comunque depositare ogni avviso di vendita che sia pubblicato; nell’ossequioso rispetto dei termini sopra indicati, il professionista dovrà avere cura di effettuare almeno 3 esperimenti di vendita durante il corso di 12 mesi, salve esigenze particolari che saranno sottoposte all’esame del giudice; il mancato rispetto di questi termini costituisce fondato motivo per procedere alla revoca dell’incarico ricevuto;</w:t>
      </w:r>
    </w:p>
    <w:p w:rsidR="00616C35" w:rsidRPr="00616C35" w:rsidRDefault="00616C35" w:rsidP="00616C35">
      <w:pPr>
        <w:widowControl w:val="0"/>
        <w:numPr>
          <w:ilvl w:val="1"/>
          <w:numId w:val="2"/>
        </w:numPr>
        <w:suppressAutoHyphens/>
        <w:spacing w:line="360" w:lineRule="auto"/>
        <w:ind w:left="360"/>
        <w:rPr>
          <w:rFonts w:eastAsia="Arial Unicode MS"/>
        </w:rPr>
      </w:pPr>
      <w:r w:rsidRPr="00616C35">
        <w:rPr>
          <w:rFonts w:eastAsia="Arial Unicode MS"/>
        </w:rPr>
        <w:t>a segnalare l’esaurimento del fondo spese, depositando un’analitica relazione sulle somme spese;</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 richiedere tempestivamente e comunque entro 15 giorni dall’emissione del decreto di trasferimento ai creditori la loro nota di precisazione del credito;</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 richiedere ai rispettivi Uffici l’intavolazione del decreto di trasferimento, la voltura catastale e la liquidazione delle imposte e tasse conseguenti alla vendita;</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al pagamento delle imposte e delle tasse di cui al punto </w:t>
      </w:r>
      <w:r w:rsidRPr="00616C35">
        <w:rPr>
          <w:rFonts w:eastAsia="Arial Unicode MS"/>
        </w:rPr>
        <w:t>39</w:t>
      </w:r>
      <w:r>
        <w:rPr>
          <w:rFonts w:eastAsia="Arial Unicode MS"/>
        </w:rPr>
        <w:t>);</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 richiedere al giudice dell’esecuzione nel termine di 15 giorni dagli adempimenti di cui ai punti da </w:t>
      </w:r>
      <w:r w:rsidRPr="00616C35">
        <w:rPr>
          <w:rFonts w:eastAsia="Arial Unicode MS"/>
        </w:rPr>
        <w:t>38) a 40)</w:t>
      </w:r>
      <w:r>
        <w:rPr>
          <w:rFonts w:eastAsia="Arial Unicode MS"/>
        </w:rPr>
        <w:t xml:space="preserve"> la liquidazione delle proprie competenze, separando le posizioni di custode e di delegato alla vendita; </w:t>
      </w:r>
    </w:p>
    <w:p w:rsidR="00616C35" w:rsidRDefault="00616C35" w:rsidP="00616C35">
      <w:pPr>
        <w:widowControl w:val="0"/>
        <w:suppressAutoHyphens/>
        <w:spacing w:line="360" w:lineRule="auto"/>
        <w:ind w:left="360"/>
        <w:jc w:val="center"/>
        <w:rPr>
          <w:rFonts w:eastAsia="Arial Unicode MS"/>
          <w:b/>
        </w:rPr>
      </w:pPr>
      <w:r>
        <w:rPr>
          <w:rFonts w:eastAsia="Arial Unicode MS"/>
          <w:b/>
        </w:rPr>
        <w:t>FORMAZIONE DEL PROGETTO DI DISTRIBUZIONE</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a comunicare ai creditori non presenti alla vendita ed al debitore esecutato la data dell’udienza dinanzi al G.E. per la decisione ex art. 512 c.p.c. sulle eventuali controversie e contestazioni pervenute sul progetto di distribuzione e per la dichiarazione di esecutorietà del progetto e ad invitare tutti i creditori a depositare note di precisazione del credito e le coordinate bancarie, da indicare sull’apposito modulo, entro 60 giorni dalla data di aggiudicazione;</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 formare entro 30 giorni dalla liquidazione delle competenze e dalla liquidazione delle imposte sul decreto di trasferimento, comunicata dalla cancelleria delle esecuzioni Immobiliari ai delegati, </w:t>
      </w:r>
      <w:r>
        <w:rPr>
          <w:rFonts w:eastAsia="Arial Unicode MS"/>
        </w:rPr>
        <w:lastRenderedPageBreak/>
        <w:t>un progetto di distribuzione; nell’ipotesi in cui per colpevole ritardo i creditori non abbiano depositato alcuna nota di precisazione del credito, il delegato procederà a calcolare i relativi diritti sulla base degli atti della procedura e tenendo conto dei valori minimi di liquidazione stabiliti dal d.m. 55/2014 per gli onorari degli avvocati, considerando quale parametro di riferimento quanto ricavato dalla vendita dei beni staggiti, che rappresenta il valore effettivo della procedura a norma dell’art. 5, comma 1, ultimo periodo, d.m. 55/2014;</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Ad inviare ai creditori a mezzo pec ed a comunicare al debitore esecutato il progetto di distribuzione con l’invito a far pervenire al delegato le eventuali osservazioni o contestazioni, almeno 15 giorni prima dell’udienza, con l’avvertimento che in difetto il progetto si intenderà approvato; </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 xml:space="preserve"> a depositare il progetto di riparto nel fascicolo elettronico della procedura, almeno 5 giorni prima della data dell’udienza.  Il delegato dovrà dare atto della intervenuta approvazione, anche per silenzio assenso, dei creditori e depositare le eventuali osservazioni e contestazioni pervenute che non siano state previamente definite, unitamente ad una propria relazione nella quale prenderà posizione motivata sulle medesime; in caso di contestazioni il delegato dovrà essere presente all’udienza per fornire al G.E. eventuali chiarimenti sul progetto.</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una volta dichiarato esecutivo il progetto di distribuzione, a sottoscrivere i mandati di pagamento, autorizzando lo stesso a prelevare dal conto della procedura quanto a lui riconosciuto in virtù del decreto di liquidazione di cui sopra e a chiudere il detto conto;</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b/>
          <w:u w:val="single"/>
        </w:rPr>
        <w:t>a depositare il rapporto riepilogativo finale, in cui dovrà relazionare sulle attività svolte dopo l’ultimo rapporto riepilogativo semestrale e, in particolare</w:t>
      </w:r>
      <w:r>
        <w:rPr>
          <w:rFonts w:eastAsia="Arial Unicode MS"/>
        </w:rPr>
        <w:t xml:space="preserve">, sulle attività di distribuzione compiute allegando alla relazione i provvedimenti di liquidazione del g.e., il progetto di distribuzione, gli avvisi alle parti e la prova dei pagamenti compiuti e, quindi, a depositare il rapporto riepilogativo finale </w:t>
      </w:r>
      <w:proofErr w:type="spellStart"/>
      <w:r>
        <w:rPr>
          <w:rFonts w:eastAsia="Arial Unicode MS"/>
        </w:rPr>
        <w:t>at</w:t>
      </w:r>
      <w:proofErr w:type="spellEnd"/>
      <w:r>
        <w:rPr>
          <w:rFonts w:eastAsia="Arial Unicode MS"/>
        </w:rPr>
        <w:t>;</w:t>
      </w:r>
    </w:p>
    <w:p w:rsidR="00616C35" w:rsidRDefault="00616C35" w:rsidP="00616C35">
      <w:pPr>
        <w:widowControl w:val="0"/>
        <w:numPr>
          <w:ilvl w:val="1"/>
          <w:numId w:val="2"/>
        </w:numPr>
        <w:suppressAutoHyphens/>
        <w:spacing w:line="360" w:lineRule="auto"/>
        <w:ind w:left="360"/>
        <w:rPr>
          <w:rFonts w:eastAsia="Arial Unicode MS"/>
        </w:rPr>
      </w:pPr>
      <w:r>
        <w:rPr>
          <w:rFonts w:eastAsia="Arial Unicode MS"/>
        </w:rPr>
        <w:t>Tutte le ulteriori attività inerenti alla vendita (fatta eccezione per il deposito delle offerte e la vendita del bene) che debbono essere compiute in Cancelleria o davanti al Giudice dell’Esecuzione o dal Cancelliere o dal Giudice dell’Esecuzione, dovranno essere effettuate dal professionista delegato presso il proprio studio, e ogni ulteriore informazione potrà essere richiesta dagli interessati allo stesso delegato/custode giudiziario.</w:t>
      </w:r>
    </w:p>
    <w:p w:rsidR="00616C35" w:rsidRDefault="00616C35" w:rsidP="00616C35">
      <w:pPr>
        <w:widowControl w:val="0"/>
        <w:suppressAutoHyphens/>
        <w:spacing w:line="360" w:lineRule="auto"/>
        <w:rPr>
          <w:rFonts w:eastAsia="Arial Unicode MS"/>
        </w:rPr>
      </w:pPr>
    </w:p>
    <w:p w:rsidR="00616C35" w:rsidRDefault="00616C35" w:rsidP="00616C35">
      <w:pPr>
        <w:widowControl w:val="0"/>
        <w:suppressAutoHyphens/>
        <w:spacing w:line="360" w:lineRule="auto"/>
        <w:rPr>
          <w:rFonts w:eastAsia="Arial Unicode MS"/>
        </w:rPr>
      </w:pPr>
      <w:r>
        <w:rPr>
          <w:rFonts w:eastAsia="Arial Unicode MS"/>
        </w:rPr>
        <w:t>Il professionista custode/delegato dovrà procedere senza indugio a tutte le operazioni delegate.</w:t>
      </w:r>
    </w:p>
    <w:p w:rsidR="00616C35" w:rsidRDefault="00616C35" w:rsidP="00616C35">
      <w:pPr>
        <w:widowControl w:val="0"/>
        <w:suppressAutoHyphens/>
        <w:spacing w:line="360" w:lineRule="auto"/>
        <w:rPr>
          <w:rFonts w:eastAsia="Arial Unicode MS"/>
        </w:rPr>
      </w:pPr>
    </w:p>
    <w:p w:rsidR="00616C35" w:rsidRDefault="00616C35" w:rsidP="00616C35">
      <w:pPr>
        <w:widowControl w:val="0"/>
        <w:suppressAutoHyphens/>
        <w:spacing w:line="360" w:lineRule="auto"/>
        <w:rPr>
          <w:rFonts w:eastAsia="Arial Unicode MS"/>
        </w:rPr>
      </w:pPr>
      <w:r>
        <w:rPr>
          <w:rFonts w:eastAsia="Arial Unicode MS"/>
        </w:rPr>
        <w:t>Il custode/delegato potrà farsi sostituire in via del tutto eccezionale da altro professionista iscritto nell’elenco di cui all’art. 179-ter disp. att. c.p.c. (fatto salvo per le mere attività materiali e contabili</w:t>
      </w:r>
      <w:r>
        <w:rPr>
          <w:rFonts w:eastAsia="Arial Unicode MS"/>
          <w:i/>
        </w:rPr>
        <w:t>)</w:t>
      </w:r>
      <w:r>
        <w:rPr>
          <w:rFonts w:eastAsia="Arial Unicode MS"/>
        </w:rPr>
        <w:t>.</w:t>
      </w:r>
    </w:p>
    <w:p w:rsidR="00616C35" w:rsidRDefault="00616C35" w:rsidP="00616C35">
      <w:pPr>
        <w:widowControl w:val="0"/>
        <w:suppressAutoHyphens/>
        <w:spacing w:line="360" w:lineRule="auto"/>
        <w:rPr>
          <w:rFonts w:eastAsia="Arial Unicode MS"/>
        </w:rPr>
      </w:pPr>
      <w:r>
        <w:rPr>
          <w:rFonts w:eastAsia="Arial Unicode MS"/>
        </w:rPr>
        <w:lastRenderedPageBreak/>
        <w:t xml:space="preserve">La visita degli </w:t>
      </w:r>
      <w:bookmarkStart w:id="0" w:name="_GoBack"/>
      <w:r>
        <w:rPr>
          <w:rFonts w:eastAsia="Arial Unicode MS"/>
        </w:rPr>
        <w:t>immobili con gli interessati dovrà essere effettuata dal custode/delegato, o in caso di assoluto impedimento, da altro professionista iscritto all’albo dei delegati.</w:t>
      </w:r>
    </w:p>
    <w:p w:rsidR="00616C35" w:rsidRDefault="00616C35" w:rsidP="00616C35">
      <w:pPr>
        <w:widowControl w:val="0"/>
        <w:suppressAutoHyphens/>
        <w:spacing w:line="360" w:lineRule="auto"/>
        <w:rPr>
          <w:rFonts w:eastAsia="Arial Unicode MS"/>
        </w:rPr>
      </w:pPr>
      <w:r>
        <w:rPr>
          <w:rFonts w:eastAsia="Arial Unicode MS"/>
        </w:rPr>
        <w:t>Il professionista delegato/custode avrà cura di tutelare la privacy dei soggetti terzi che a qualsiasi titolo hanno contatto con il delegato.</w:t>
      </w:r>
    </w:p>
    <w:p w:rsidR="00616C35" w:rsidRDefault="00616C35" w:rsidP="00616C35">
      <w:pPr>
        <w:widowControl w:val="0"/>
        <w:suppressAutoHyphens/>
        <w:spacing w:line="360" w:lineRule="auto"/>
        <w:rPr>
          <w:rFonts w:eastAsia="Arial Unicode MS"/>
        </w:rPr>
      </w:pPr>
      <w:r>
        <w:rPr>
          <w:rFonts w:eastAsia="Arial Unicode MS"/>
        </w:rPr>
        <w:t>Il professionista delegato/custode avrà cura di utilizzare, nelle comunicazioni scritte e orali dirette al debitore e ai potenziali acquirenti, e in ogni caso durante l’intera procedura, la lingua scelta o presunta (italiana o tedesca) dei destinatari e di avvalersi, comunque, di apposita modulistica bilingue. Gli avvisi di vendita, le bozze dei decreti di trasferimento</w:t>
      </w:r>
      <w:bookmarkEnd w:id="0"/>
      <w:r>
        <w:rPr>
          <w:rFonts w:eastAsia="Arial Unicode MS"/>
        </w:rPr>
        <w:t>, i verbali di aggiudicazione e, in genere, tutti gli atti aventi efficacia anche esterna al procedimento esecutivo, devono essere redatti dal delegato/custode in forma bilingue.</w:t>
      </w:r>
    </w:p>
    <w:p w:rsidR="00616C35" w:rsidRDefault="00616C35" w:rsidP="00616C35">
      <w:pPr>
        <w:spacing w:line="360" w:lineRule="auto"/>
      </w:pPr>
    </w:p>
    <w:p w:rsidR="00616C35" w:rsidRDefault="00616C35" w:rsidP="00616C35">
      <w:pPr>
        <w:spacing w:line="360" w:lineRule="auto"/>
        <w:ind w:left="5664"/>
      </w:pPr>
      <w:r>
        <w:t>Il G.E.</w:t>
      </w:r>
    </w:p>
    <w:p w:rsidR="00616C35" w:rsidRDefault="00616C35" w:rsidP="00616C35">
      <w:pPr>
        <w:jc w:val="center"/>
      </w:pPr>
    </w:p>
    <w:p w:rsidR="005530C8" w:rsidRPr="00616C35" w:rsidRDefault="00EB77CD"/>
    <w:sectPr w:rsidR="005530C8" w:rsidRPr="00616C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Bold Condensed">
    <w:altName w:val="Bernard MT Condense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22C3470D"/>
    <w:multiLevelType w:val="hybridMultilevel"/>
    <w:tmpl w:val="01B27FDA"/>
    <w:lvl w:ilvl="0" w:tplc="F86A9F34">
      <w:start w:val="1"/>
      <w:numFmt w:val="upperLetter"/>
      <w:lvlText w:val="%1)"/>
      <w:lvlJc w:val="left"/>
      <w:pPr>
        <w:ind w:left="720" w:hanging="360"/>
      </w:pPr>
    </w:lvl>
    <w:lvl w:ilvl="1" w:tplc="316EB934">
      <w:start w:val="1"/>
      <w:numFmt w:val="decimal"/>
      <w:lvlText w:val="%2)"/>
      <w:lvlJc w:val="left"/>
      <w:pPr>
        <w:ind w:left="502" w:hanging="360"/>
      </w:pPr>
      <w:rPr>
        <w:rFonts w:ascii="Arial" w:eastAsia="Arial Unicode MS" w:hAnsi="Arial" w:cs="Arial"/>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C35"/>
    <w:rsid w:val="00170633"/>
    <w:rsid w:val="00491BF2"/>
    <w:rsid w:val="00616C35"/>
    <w:rsid w:val="009A5705"/>
    <w:rsid w:val="00AB5448"/>
    <w:rsid w:val="00EB77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DFB67E2-4A34-450E-AAFF-99A117FB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6C35"/>
    <w:pPr>
      <w:spacing w:line="540" w:lineRule="exact"/>
      <w:jc w:val="both"/>
    </w:pPr>
    <w:rPr>
      <w:rFonts w:eastAsia="Times New Roman"/>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616C35"/>
    <w:rPr>
      <w:color w:val="0000FF" w:themeColor="hyperlink"/>
      <w:u w:val="single"/>
    </w:rPr>
  </w:style>
  <w:style w:type="paragraph" w:customStyle="1" w:styleId="formul11">
    <w:name w:val="formul1_1"/>
    <w:rsid w:val="00616C35"/>
    <w:pPr>
      <w:autoSpaceDE w:val="0"/>
      <w:autoSpaceDN w:val="0"/>
      <w:adjustRightInd w:val="0"/>
      <w:spacing w:before="214"/>
      <w:jc w:val="center"/>
    </w:pPr>
    <w:rPr>
      <w:rFonts w:eastAsia="Times New Roman"/>
      <w:sz w:val="18"/>
      <w:szCs w:val="18"/>
      <w:lang w:val="en-US" w:eastAsia="it-IT"/>
    </w:rPr>
  </w:style>
  <w:style w:type="paragraph" w:customStyle="1" w:styleId="formul12">
    <w:name w:val="formul1_2"/>
    <w:rsid w:val="00616C35"/>
    <w:pPr>
      <w:widowControl w:val="0"/>
      <w:autoSpaceDE w:val="0"/>
      <w:autoSpaceDN w:val="0"/>
      <w:adjustRightInd w:val="0"/>
      <w:spacing w:before="235"/>
      <w:jc w:val="both"/>
    </w:pPr>
    <w:rPr>
      <w:rFonts w:eastAsia="Times New Roman"/>
      <w:sz w:val="20"/>
      <w:lang w:val="en-US" w:eastAsia="it-IT"/>
    </w:rPr>
  </w:style>
  <w:style w:type="paragraph" w:customStyle="1" w:styleId="formul13">
    <w:name w:val="formul1_3"/>
    <w:rsid w:val="00616C35"/>
    <w:pPr>
      <w:widowControl w:val="0"/>
      <w:autoSpaceDE w:val="0"/>
      <w:autoSpaceDN w:val="0"/>
      <w:adjustRightInd w:val="0"/>
      <w:jc w:val="both"/>
    </w:pPr>
    <w:rPr>
      <w:rFonts w:eastAsia="Times New Roman"/>
      <w:sz w:val="20"/>
      <w:lang w:val="en-US" w:eastAsia="it-IT"/>
    </w:rPr>
  </w:style>
  <w:style w:type="paragraph" w:customStyle="1" w:styleId="inizio1">
    <w:name w:val="inizio_1"/>
    <w:rsid w:val="00616C35"/>
    <w:pPr>
      <w:widowControl w:val="0"/>
      <w:autoSpaceDE w:val="0"/>
      <w:autoSpaceDN w:val="0"/>
      <w:adjustRightInd w:val="0"/>
      <w:jc w:val="both"/>
    </w:pPr>
    <w:rPr>
      <w:rFonts w:eastAsia="Times New Roman"/>
      <w:b/>
      <w:bCs/>
      <w:sz w:val="22"/>
      <w:szCs w:val="22"/>
      <w:lang w:val="en-US" w:eastAsia="it-IT"/>
    </w:rPr>
  </w:style>
  <w:style w:type="paragraph" w:customStyle="1" w:styleId="formul4">
    <w:name w:val="formul_4"/>
    <w:uiPriority w:val="99"/>
    <w:rsid w:val="00616C35"/>
    <w:pPr>
      <w:widowControl w:val="0"/>
      <w:suppressAutoHyphens/>
      <w:autoSpaceDE w:val="0"/>
      <w:jc w:val="both"/>
    </w:pPr>
    <w:rPr>
      <w:rFonts w:eastAsia="Times New Roman"/>
      <w:sz w:val="22"/>
      <w:szCs w:val="22"/>
      <w:lang w:val="en-US" w:eastAsia="ar-SA"/>
    </w:rPr>
  </w:style>
  <w:style w:type="paragraph" w:customStyle="1" w:styleId="testobold">
    <w:name w:val="testo bold"/>
    <w:basedOn w:val="Normale"/>
    <w:uiPriority w:val="99"/>
    <w:qFormat/>
    <w:rsid w:val="00616C35"/>
    <w:pPr>
      <w:widowControl w:val="0"/>
      <w:numPr>
        <w:numId w:val="1"/>
      </w:numPr>
      <w:spacing w:line="240" w:lineRule="exact"/>
    </w:pPr>
    <w:rPr>
      <w:rFonts w:ascii="Helvetica Neue Bold Condensed" w:eastAsia="Arial Unicode MS" w:hAnsi="Helvetica Neue Bold Condensed" w:cs="Arial Unicode MS"/>
      <w:color w:val="000000"/>
      <w:u w:color="000000"/>
    </w:rPr>
  </w:style>
  <w:style w:type="character" w:styleId="Testosegnaposto">
    <w:name w:val="Placeholder Text"/>
    <w:basedOn w:val="Carpredefinitoparagrafo"/>
    <w:uiPriority w:val="99"/>
    <w:semiHidden/>
    <w:rsid w:val="00616C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8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ibunale.bolzano.it/it/Content/Index/15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bunale.bolzano.it/it/Content/Index/137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5070</Words>
  <Characters>28903</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33906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Segarizzi</dc:creator>
  <cp:keywords/>
  <dc:description/>
  <cp:lastModifiedBy>Massimiliano Segarizzi</cp:lastModifiedBy>
  <cp:revision>2</cp:revision>
  <dcterms:created xsi:type="dcterms:W3CDTF">2019-07-12T07:24:00Z</dcterms:created>
  <dcterms:modified xsi:type="dcterms:W3CDTF">2019-07-16T07:50:00Z</dcterms:modified>
</cp:coreProperties>
</file>